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9F21" w14:textId="0BF2D113" w:rsidR="00AD48FC" w:rsidRPr="0033312E" w:rsidRDefault="0033312E" w:rsidP="0033312E">
      <w:pPr>
        <w:spacing w:befor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7.19 </w:t>
      </w:r>
      <w:r w:rsidR="007140C3" w:rsidRPr="0033312E">
        <w:rPr>
          <w:b/>
          <w:bCs/>
          <w:sz w:val="28"/>
          <w:szCs w:val="28"/>
        </w:rPr>
        <w:t xml:space="preserve">Scientific </w:t>
      </w:r>
      <w:r w:rsidR="00FA4127" w:rsidRPr="0033312E">
        <w:rPr>
          <w:b/>
          <w:bCs/>
          <w:sz w:val="28"/>
          <w:szCs w:val="28"/>
        </w:rPr>
        <w:t>E</w:t>
      </w:r>
      <w:r w:rsidR="007140C3" w:rsidRPr="0033312E">
        <w:rPr>
          <w:b/>
          <w:bCs/>
          <w:sz w:val="28"/>
          <w:szCs w:val="28"/>
        </w:rPr>
        <w:t>vidence</w:t>
      </w:r>
    </w:p>
    <w:p w14:paraId="685FE43E" w14:textId="41C41F7A" w:rsidR="007140C3" w:rsidRPr="007E0DDE" w:rsidRDefault="007140C3" w:rsidP="007E0DDE">
      <w:pPr>
        <w:spacing w:before="0"/>
        <w:rPr>
          <w:b/>
          <w:bCs/>
          <w:sz w:val="28"/>
          <w:szCs w:val="28"/>
        </w:rPr>
      </w:pPr>
    </w:p>
    <w:p w14:paraId="58B12455" w14:textId="7A0D39FD" w:rsidR="00C22608" w:rsidRPr="007E0DDE" w:rsidRDefault="007E0DDE" w:rsidP="007E0DDE">
      <w:pPr>
        <w:pStyle w:val="ListParagraph"/>
        <w:spacing w:before="0"/>
        <w:ind w:righ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(1) </w:t>
      </w:r>
      <w:r w:rsidR="00325520" w:rsidRPr="007E0DDE">
        <w:rPr>
          <w:b/>
          <w:bCs/>
          <w:sz w:val="28"/>
          <w:szCs w:val="28"/>
        </w:rPr>
        <w:t>S</w:t>
      </w:r>
      <w:r w:rsidR="007140C3" w:rsidRPr="007E0DDE">
        <w:rPr>
          <w:b/>
          <w:bCs/>
          <w:sz w:val="28"/>
          <w:szCs w:val="28"/>
        </w:rPr>
        <w:t>ubject to the requirements</w:t>
      </w:r>
      <w:r w:rsidR="00A504F0" w:rsidRPr="007E0DDE">
        <w:rPr>
          <w:b/>
          <w:bCs/>
          <w:sz w:val="28"/>
          <w:szCs w:val="28"/>
        </w:rPr>
        <w:t xml:space="preserve"> </w:t>
      </w:r>
      <w:r w:rsidR="006810DE" w:rsidRPr="007E0DDE">
        <w:rPr>
          <w:b/>
          <w:bCs/>
          <w:sz w:val="28"/>
          <w:szCs w:val="28"/>
        </w:rPr>
        <w:t xml:space="preserve">identified in </w:t>
      </w:r>
      <w:r w:rsidR="005723E7" w:rsidRPr="007E0DDE">
        <w:rPr>
          <w:b/>
          <w:bCs/>
          <w:sz w:val="28"/>
          <w:szCs w:val="28"/>
        </w:rPr>
        <w:t>Guide to N</w:t>
      </w:r>
      <w:r w:rsidR="00C82EDF" w:rsidRPr="007E0DDE">
        <w:rPr>
          <w:b/>
          <w:bCs/>
          <w:sz w:val="28"/>
          <w:szCs w:val="28"/>
        </w:rPr>
        <w:t xml:space="preserve">ew </w:t>
      </w:r>
      <w:r w:rsidR="005723E7" w:rsidRPr="007E0DDE">
        <w:rPr>
          <w:b/>
          <w:bCs/>
          <w:sz w:val="28"/>
          <w:szCs w:val="28"/>
        </w:rPr>
        <w:t>Y</w:t>
      </w:r>
      <w:r w:rsidR="00C82EDF" w:rsidRPr="007E0DDE">
        <w:rPr>
          <w:b/>
          <w:bCs/>
          <w:sz w:val="28"/>
          <w:szCs w:val="28"/>
        </w:rPr>
        <w:t>ork</w:t>
      </w:r>
      <w:r w:rsidR="005723E7" w:rsidRPr="007E0DDE">
        <w:rPr>
          <w:b/>
          <w:bCs/>
          <w:sz w:val="28"/>
          <w:szCs w:val="28"/>
        </w:rPr>
        <w:t xml:space="preserve"> Evidence rule</w:t>
      </w:r>
      <w:r w:rsidR="00761260">
        <w:rPr>
          <w:b/>
          <w:bCs/>
          <w:sz w:val="28"/>
          <w:szCs w:val="28"/>
        </w:rPr>
        <w:t xml:space="preserve"> </w:t>
      </w:r>
      <w:r w:rsidR="005723E7" w:rsidRPr="007E0DDE">
        <w:rPr>
          <w:b/>
          <w:bCs/>
          <w:sz w:val="28"/>
          <w:szCs w:val="28"/>
        </w:rPr>
        <w:t>4.01</w:t>
      </w:r>
      <w:r w:rsidR="004432F1" w:rsidRPr="007E0DDE">
        <w:rPr>
          <w:b/>
          <w:bCs/>
          <w:sz w:val="28"/>
          <w:szCs w:val="28"/>
        </w:rPr>
        <w:t xml:space="preserve"> </w:t>
      </w:r>
      <w:r w:rsidR="00C82EDF" w:rsidRPr="007E0DDE">
        <w:rPr>
          <w:b/>
          <w:bCs/>
          <w:sz w:val="28"/>
          <w:szCs w:val="28"/>
        </w:rPr>
        <w:t>(</w:t>
      </w:r>
      <w:r w:rsidR="004432F1" w:rsidRPr="007E0DDE">
        <w:rPr>
          <w:b/>
          <w:bCs/>
          <w:sz w:val="28"/>
          <w:szCs w:val="28"/>
        </w:rPr>
        <w:t>Relevant Evidence</w:t>
      </w:r>
      <w:r w:rsidR="00C82EDF" w:rsidRPr="007E0DDE">
        <w:rPr>
          <w:b/>
          <w:bCs/>
          <w:sz w:val="28"/>
          <w:szCs w:val="28"/>
        </w:rPr>
        <w:t>)</w:t>
      </w:r>
      <w:r w:rsidR="00761260">
        <w:rPr>
          <w:b/>
          <w:bCs/>
          <w:sz w:val="28"/>
          <w:szCs w:val="28"/>
        </w:rPr>
        <w:t>;</w:t>
      </w:r>
      <w:r w:rsidR="00A36699" w:rsidRPr="007E0DDE">
        <w:rPr>
          <w:b/>
          <w:bCs/>
          <w:sz w:val="28"/>
          <w:szCs w:val="28"/>
        </w:rPr>
        <w:t xml:space="preserve"> </w:t>
      </w:r>
      <w:r w:rsidR="00B27BF1">
        <w:rPr>
          <w:b/>
          <w:bCs/>
          <w:sz w:val="28"/>
          <w:szCs w:val="28"/>
        </w:rPr>
        <w:t xml:space="preserve">rule </w:t>
      </w:r>
      <w:r w:rsidR="003C07F4" w:rsidRPr="007E0DDE">
        <w:rPr>
          <w:b/>
          <w:bCs/>
          <w:sz w:val="28"/>
          <w:szCs w:val="28"/>
        </w:rPr>
        <w:t>4.07</w:t>
      </w:r>
      <w:r w:rsidR="004432F1" w:rsidRPr="007E0DDE">
        <w:rPr>
          <w:b/>
          <w:bCs/>
          <w:sz w:val="28"/>
          <w:szCs w:val="28"/>
        </w:rPr>
        <w:t xml:space="preserve"> </w:t>
      </w:r>
      <w:r w:rsidR="00C82EDF" w:rsidRPr="007E0DDE">
        <w:rPr>
          <w:b/>
          <w:bCs/>
          <w:sz w:val="28"/>
          <w:szCs w:val="28"/>
        </w:rPr>
        <w:t>(</w:t>
      </w:r>
      <w:r w:rsidR="004432F1" w:rsidRPr="007E0DDE">
        <w:rPr>
          <w:b/>
          <w:bCs/>
          <w:sz w:val="28"/>
          <w:szCs w:val="28"/>
        </w:rPr>
        <w:t>Exclusion of Relevant Evidence</w:t>
      </w:r>
      <w:r w:rsidR="00C82EDF" w:rsidRPr="007E0DDE">
        <w:rPr>
          <w:b/>
          <w:bCs/>
          <w:sz w:val="28"/>
          <w:szCs w:val="28"/>
        </w:rPr>
        <w:t>)</w:t>
      </w:r>
      <w:r w:rsidR="00761260">
        <w:rPr>
          <w:b/>
          <w:bCs/>
          <w:sz w:val="28"/>
          <w:szCs w:val="28"/>
        </w:rPr>
        <w:t>; rule 7</w:t>
      </w:r>
      <w:r w:rsidR="00325520" w:rsidRPr="007E0DDE">
        <w:rPr>
          <w:b/>
          <w:bCs/>
          <w:sz w:val="28"/>
          <w:szCs w:val="28"/>
        </w:rPr>
        <w:t>.01</w:t>
      </w:r>
      <w:r w:rsidR="00A36699" w:rsidRPr="007E0DDE">
        <w:rPr>
          <w:b/>
          <w:bCs/>
          <w:sz w:val="28"/>
          <w:szCs w:val="28"/>
        </w:rPr>
        <w:t xml:space="preserve"> </w:t>
      </w:r>
      <w:r w:rsidR="00C82EDF" w:rsidRPr="007E0DDE">
        <w:rPr>
          <w:b/>
          <w:bCs/>
          <w:sz w:val="28"/>
          <w:szCs w:val="28"/>
        </w:rPr>
        <w:t>(</w:t>
      </w:r>
      <w:r w:rsidR="00A36699" w:rsidRPr="007E0DDE">
        <w:rPr>
          <w:b/>
          <w:bCs/>
          <w:sz w:val="28"/>
          <w:szCs w:val="28"/>
        </w:rPr>
        <w:t>Opinion of Expert</w:t>
      </w:r>
      <w:r w:rsidR="00C82EDF" w:rsidRPr="007E0DDE">
        <w:rPr>
          <w:b/>
          <w:bCs/>
          <w:sz w:val="28"/>
          <w:szCs w:val="28"/>
        </w:rPr>
        <w:t xml:space="preserve"> Witness)</w:t>
      </w:r>
      <w:r w:rsidR="001C0A87" w:rsidRPr="007E0DDE">
        <w:rPr>
          <w:b/>
          <w:bCs/>
          <w:sz w:val="28"/>
          <w:szCs w:val="28"/>
        </w:rPr>
        <w:t>, as limited by rule 8.02</w:t>
      </w:r>
      <w:r w:rsidR="00CF320D" w:rsidRPr="007E0DDE">
        <w:rPr>
          <w:b/>
          <w:bCs/>
          <w:sz w:val="28"/>
          <w:szCs w:val="28"/>
        </w:rPr>
        <w:t xml:space="preserve"> </w:t>
      </w:r>
      <w:r w:rsidR="00C82EDF" w:rsidRPr="007E0DDE">
        <w:rPr>
          <w:b/>
          <w:bCs/>
          <w:sz w:val="28"/>
          <w:szCs w:val="28"/>
        </w:rPr>
        <w:t>(</w:t>
      </w:r>
      <w:r w:rsidR="00FD2AF5" w:rsidRPr="007E0DDE">
        <w:rPr>
          <w:b/>
          <w:bCs/>
          <w:sz w:val="28"/>
          <w:szCs w:val="28"/>
        </w:rPr>
        <w:t xml:space="preserve">Admissibility Limited by </w:t>
      </w:r>
      <w:r w:rsidR="00EF31CF" w:rsidRPr="007E0DDE">
        <w:rPr>
          <w:b/>
          <w:bCs/>
          <w:sz w:val="28"/>
          <w:szCs w:val="28"/>
        </w:rPr>
        <w:t>Confrontation Clause</w:t>
      </w:r>
      <w:r w:rsidR="00C82EDF" w:rsidRPr="007E0DDE">
        <w:rPr>
          <w:b/>
          <w:bCs/>
          <w:sz w:val="28"/>
          <w:szCs w:val="28"/>
        </w:rPr>
        <w:t>)</w:t>
      </w:r>
      <w:r w:rsidR="00761260">
        <w:rPr>
          <w:b/>
          <w:bCs/>
          <w:sz w:val="28"/>
          <w:szCs w:val="28"/>
        </w:rPr>
        <w:t>;</w:t>
      </w:r>
      <w:r w:rsidR="00E770FD" w:rsidRPr="007E0DDE">
        <w:rPr>
          <w:b/>
          <w:bCs/>
          <w:sz w:val="28"/>
          <w:szCs w:val="28"/>
        </w:rPr>
        <w:t xml:space="preserve"> </w:t>
      </w:r>
      <w:r w:rsidR="00DB7966" w:rsidRPr="007E0DDE">
        <w:rPr>
          <w:b/>
          <w:bCs/>
          <w:sz w:val="28"/>
          <w:szCs w:val="28"/>
        </w:rPr>
        <w:t xml:space="preserve">and subject to </w:t>
      </w:r>
      <w:r w:rsidR="00E770FD" w:rsidRPr="007E0DDE">
        <w:rPr>
          <w:b/>
          <w:bCs/>
          <w:sz w:val="28"/>
          <w:szCs w:val="28"/>
        </w:rPr>
        <w:t xml:space="preserve">the establishment </w:t>
      </w:r>
      <w:r w:rsidR="00B21450" w:rsidRPr="007E0DDE">
        <w:rPr>
          <w:b/>
          <w:bCs/>
          <w:sz w:val="28"/>
          <w:szCs w:val="28"/>
        </w:rPr>
        <w:t>by foundation evidence of the authenticity of the materials</w:t>
      </w:r>
      <w:r w:rsidR="008F15C6" w:rsidRPr="007E0DDE">
        <w:rPr>
          <w:b/>
          <w:bCs/>
          <w:sz w:val="28"/>
          <w:szCs w:val="28"/>
        </w:rPr>
        <w:t xml:space="preserve"> </w:t>
      </w:r>
      <w:r w:rsidR="00B21450" w:rsidRPr="007E0DDE">
        <w:rPr>
          <w:b/>
          <w:bCs/>
          <w:sz w:val="28"/>
          <w:szCs w:val="28"/>
        </w:rPr>
        <w:t>and propriety of the procedur</w:t>
      </w:r>
      <w:r w:rsidR="008F15C6" w:rsidRPr="007E0DDE">
        <w:rPr>
          <w:b/>
          <w:bCs/>
          <w:sz w:val="28"/>
          <w:szCs w:val="28"/>
        </w:rPr>
        <w:t>e used</w:t>
      </w:r>
      <w:r w:rsidR="001073B1" w:rsidRPr="007E0DDE">
        <w:rPr>
          <w:b/>
          <w:bCs/>
          <w:sz w:val="28"/>
          <w:szCs w:val="28"/>
        </w:rPr>
        <w:t xml:space="preserve">, </w:t>
      </w:r>
      <w:r w:rsidR="00945C25" w:rsidRPr="007E0DDE">
        <w:rPr>
          <w:b/>
          <w:bCs/>
          <w:sz w:val="28"/>
          <w:szCs w:val="28"/>
        </w:rPr>
        <w:t>the</w:t>
      </w:r>
      <w:r w:rsidR="00325520" w:rsidRPr="007E0DDE">
        <w:rPr>
          <w:b/>
          <w:bCs/>
          <w:sz w:val="28"/>
          <w:szCs w:val="28"/>
        </w:rPr>
        <w:t xml:space="preserve"> following </w:t>
      </w:r>
      <w:bookmarkStart w:id="0" w:name="_Hlk99657279"/>
      <w:r w:rsidR="00325520" w:rsidRPr="007E0DDE">
        <w:rPr>
          <w:b/>
          <w:bCs/>
          <w:sz w:val="28"/>
          <w:szCs w:val="28"/>
        </w:rPr>
        <w:t>scientific evidence has been held admissible</w:t>
      </w:r>
      <w:r w:rsidR="00945C25" w:rsidRPr="007E0DDE">
        <w:rPr>
          <w:b/>
          <w:bCs/>
          <w:sz w:val="28"/>
          <w:szCs w:val="28"/>
        </w:rPr>
        <w:t>:</w:t>
      </w:r>
      <w:bookmarkEnd w:id="0"/>
    </w:p>
    <w:p w14:paraId="482E6F98" w14:textId="77777777" w:rsidR="000A732C" w:rsidRPr="007E0DDE" w:rsidRDefault="000A732C" w:rsidP="007E0DDE">
      <w:pPr>
        <w:spacing w:before="0"/>
        <w:jc w:val="both"/>
        <w:rPr>
          <w:b/>
          <w:bCs/>
          <w:sz w:val="28"/>
          <w:szCs w:val="28"/>
        </w:rPr>
      </w:pPr>
    </w:p>
    <w:p w14:paraId="788D5082" w14:textId="08493F38" w:rsidR="00ED2C9A" w:rsidRPr="007E0DDE" w:rsidRDefault="007E0DDE" w:rsidP="007E0DDE">
      <w:pPr>
        <w:pStyle w:val="ListParagraph"/>
        <w:spacing w:before="0"/>
        <w:ind w:left="1440" w:right="720"/>
        <w:jc w:val="both"/>
        <w:rPr>
          <w:b/>
          <w:bCs/>
          <w:strike/>
          <w:sz w:val="28"/>
          <w:szCs w:val="28"/>
        </w:rPr>
      </w:pPr>
      <w:r>
        <w:rPr>
          <w:b/>
          <w:bCs/>
          <w:sz w:val="28"/>
          <w:szCs w:val="28"/>
        </w:rPr>
        <w:t xml:space="preserve">(a) </w:t>
      </w:r>
      <w:r w:rsidR="002E1BAE" w:rsidRPr="007E0DDE">
        <w:rPr>
          <w:b/>
          <w:bCs/>
          <w:sz w:val="28"/>
          <w:szCs w:val="28"/>
        </w:rPr>
        <w:t xml:space="preserve">Ballistics evidence </w:t>
      </w:r>
      <w:r w:rsidR="00846864" w:rsidRPr="007E0DDE">
        <w:rPr>
          <w:b/>
          <w:bCs/>
          <w:sz w:val="28"/>
          <w:szCs w:val="28"/>
        </w:rPr>
        <w:t xml:space="preserve">used to show that </w:t>
      </w:r>
      <w:r w:rsidR="002E1BAE" w:rsidRPr="007E0DDE">
        <w:rPr>
          <w:b/>
          <w:bCs/>
          <w:sz w:val="28"/>
          <w:szCs w:val="28"/>
        </w:rPr>
        <w:t xml:space="preserve">a firearm is operable or </w:t>
      </w:r>
      <w:r w:rsidR="00846864" w:rsidRPr="007E0DDE">
        <w:rPr>
          <w:b/>
          <w:bCs/>
          <w:sz w:val="28"/>
          <w:szCs w:val="28"/>
        </w:rPr>
        <w:t xml:space="preserve">that </w:t>
      </w:r>
      <w:r w:rsidR="002E1BAE" w:rsidRPr="007E0DDE">
        <w:rPr>
          <w:b/>
          <w:bCs/>
          <w:sz w:val="28"/>
          <w:szCs w:val="28"/>
        </w:rPr>
        <w:t xml:space="preserve">a bullet was fired from a </w:t>
      </w:r>
      <w:r w:rsidR="00C43C26" w:rsidRPr="007E0DDE">
        <w:rPr>
          <w:b/>
          <w:bCs/>
          <w:sz w:val="28"/>
          <w:szCs w:val="28"/>
        </w:rPr>
        <w:t xml:space="preserve">particular </w:t>
      </w:r>
      <w:r w:rsidR="002E1BAE" w:rsidRPr="007E0DDE">
        <w:rPr>
          <w:b/>
          <w:bCs/>
          <w:sz w:val="28"/>
          <w:szCs w:val="28"/>
        </w:rPr>
        <w:t>firearm</w:t>
      </w:r>
      <w:r w:rsidR="00B22D8F">
        <w:rPr>
          <w:b/>
          <w:bCs/>
          <w:sz w:val="28"/>
          <w:szCs w:val="28"/>
        </w:rPr>
        <w:t>.</w:t>
      </w:r>
    </w:p>
    <w:p w14:paraId="2049931F" w14:textId="79161EF2" w:rsidR="007C1EA3" w:rsidRPr="007E0DDE" w:rsidRDefault="007C1EA3" w:rsidP="007E0DDE">
      <w:pPr>
        <w:spacing w:before="0"/>
        <w:jc w:val="both"/>
        <w:rPr>
          <w:b/>
          <w:bCs/>
          <w:sz w:val="28"/>
          <w:szCs w:val="28"/>
        </w:rPr>
      </w:pPr>
    </w:p>
    <w:p w14:paraId="5F2C0111" w14:textId="2A984CB4" w:rsidR="00B326B7" w:rsidRPr="007E0DDE" w:rsidRDefault="007E0DDE" w:rsidP="007E0DDE">
      <w:pPr>
        <w:pStyle w:val="ListParagraph"/>
        <w:spacing w:before="0"/>
        <w:ind w:left="1440" w:righ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(b) </w:t>
      </w:r>
      <w:r w:rsidR="003D3D4C" w:rsidRPr="007E0DDE">
        <w:rPr>
          <w:b/>
          <w:bCs/>
          <w:sz w:val="28"/>
          <w:szCs w:val="28"/>
        </w:rPr>
        <w:t>Blood</w:t>
      </w:r>
      <w:r w:rsidR="009139E7" w:rsidRPr="007E0DDE">
        <w:rPr>
          <w:b/>
          <w:bCs/>
          <w:sz w:val="28"/>
          <w:szCs w:val="28"/>
        </w:rPr>
        <w:t xml:space="preserve"> type evidence</w:t>
      </w:r>
      <w:r w:rsidR="008A6E6D" w:rsidRPr="007E0DDE">
        <w:rPr>
          <w:b/>
          <w:bCs/>
          <w:sz w:val="28"/>
          <w:szCs w:val="28"/>
        </w:rPr>
        <w:t xml:space="preserve"> </w:t>
      </w:r>
      <w:r w:rsidR="00730F73" w:rsidRPr="007E0DDE">
        <w:rPr>
          <w:b/>
          <w:bCs/>
          <w:sz w:val="28"/>
          <w:szCs w:val="28"/>
        </w:rPr>
        <w:t>used to identify the type of blood a particular individual carries and to determine whether the blood of one person matches that of another</w:t>
      </w:r>
      <w:r w:rsidR="00B22D8F">
        <w:rPr>
          <w:b/>
          <w:bCs/>
          <w:sz w:val="28"/>
          <w:szCs w:val="28"/>
        </w:rPr>
        <w:t>.</w:t>
      </w:r>
    </w:p>
    <w:p w14:paraId="177F6530" w14:textId="77777777" w:rsidR="00DF6443" w:rsidRPr="007E0DDE" w:rsidRDefault="00DF6443" w:rsidP="007E0DDE">
      <w:pPr>
        <w:spacing w:before="0"/>
        <w:ind w:right="1152"/>
        <w:jc w:val="both"/>
        <w:rPr>
          <w:b/>
          <w:bCs/>
          <w:sz w:val="28"/>
          <w:szCs w:val="28"/>
        </w:rPr>
      </w:pPr>
    </w:p>
    <w:p w14:paraId="02FDD6F4" w14:textId="739B29A0" w:rsidR="00B326B7" w:rsidRPr="007E0DDE" w:rsidRDefault="00E03515" w:rsidP="00E03515">
      <w:pPr>
        <w:pStyle w:val="ListParagraph"/>
        <w:spacing w:before="0"/>
        <w:ind w:left="1440" w:right="720"/>
        <w:jc w:val="both"/>
        <w:rPr>
          <w:b/>
          <w:bCs/>
          <w:sz w:val="28"/>
          <w:szCs w:val="28"/>
        </w:rPr>
      </w:pPr>
      <w:bookmarkStart w:id="1" w:name="_Hlk95152321"/>
      <w:r>
        <w:rPr>
          <w:b/>
          <w:bCs/>
          <w:sz w:val="28"/>
          <w:szCs w:val="28"/>
        </w:rPr>
        <w:t xml:space="preserve">(c) </w:t>
      </w:r>
      <w:r w:rsidR="00B326B7" w:rsidRPr="007E0DDE">
        <w:rPr>
          <w:b/>
          <w:bCs/>
          <w:sz w:val="28"/>
          <w:szCs w:val="28"/>
        </w:rPr>
        <w:t>Fingerprint and palmprint evidence</w:t>
      </w:r>
      <w:r w:rsidR="00B22D8F">
        <w:rPr>
          <w:b/>
          <w:bCs/>
          <w:sz w:val="28"/>
          <w:szCs w:val="28"/>
        </w:rPr>
        <w:t>.</w:t>
      </w:r>
    </w:p>
    <w:bookmarkEnd w:id="1"/>
    <w:p w14:paraId="14D9EA36" w14:textId="77777777" w:rsidR="00D062A4" w:rsidRPr="00E03515" w:rsidRDefault="00D062A4" w:rsidP="00E03515">
      <w:pPr>
        <w:spacing w:before="0"/>
        <w:jc w:val="both"/>
        <w:rPr>
          <w:b/>
          <w:bCs/>
          <w:sz w:val="28"/>
          <w:szCs w:val="28"/>
        </w:rPr>
      </w:pPr>
    </w:p>
    <w:p w14:paraId="6EA5FE96" w14:textId="7543DE5C" w:rsidR="00D062A4" w:rsidRPr="007E0DDE" w:rsidRDefault="00E03515" w:rsidP="00E03515">
      <w:pPr>
        <w:pStyle w:val="ListParagraph"/>
        <w:spacing w:before="0"/>
        <w:ind w:left="1440" w:right="720"/>
        <w:jc w:val="both"/>
        <w:rPr>
          <w:b/>
          <w:bCs/>
          <w:sz w:val="28"/>
          <w:szCs w:val="28"/>
        </w:rPr>
      </w:pPr>
      <w:bookmarkStart w:id="2" w:name="_Hlk95254565"/>
      <w:r>
        <w:rPr>
          <w:rFonts w:eastAsia="Times New Roman"/>
          <w:b/>
          <w:bCs/>
          <w:sz w:val="28"/>
          <w:szCs w:val="28"/>
        </w:rPr>
        <w:t>(d)</w:t>
      </w:r>
      <w:r w:rsidR="00771AEE">
        <w:rPr>
          <w:rFonts w:eastAsia="Times New Roman"/>
          <w:b/>
          <w:bCs/>
          <w:sz w:val="28"/>
          <w:szCs w:val="28"/>
        </w:rPr>
        <w:t xml:space="preserve"> </w:t>
      </w:r>
      <w:r w:rsidR="00CE6632" w:rsidRPr="007E0DDE">
        <w:rPr>
          <w:rFonts w:eastAsia="Times New Roman"/>
          <w:b/>
          <w:bCs/>
          <w:sz w:val="28"/>
          <w:szCs w:val="28"/>
        </w:rPr>
        <w:t>The results of a</w:t>
      </w:r>
      <w:r w:rsidR="00CE5334" w:rsidRPr="007E0DDE">
        <w:rPr>
          <w:rFonts w:eastAsia="Times New Roman"/>
          <w:b/>
          <w:bCs/>
          <w:sz w:val="28"/>
          <w:szCs w:val="28"/>
          <w:lang w:val="x-none"/>
        </w:rPr>
        <w:t xml:space="preserve"> medical or diagnostic procedure or test </w:t>
      </w:r>
      <w:r w:rsidR="00905C09" w:rsidRPr="007E0DDE">
        <w:rPr>
          <w:rFonts w:eastAsia="Times New Roman"/>
          <w:b/>
          <w:bCs/>
          <w:sz w:val="28"/>
          <w:szCs w:val="28"/>
        </w:rPr>
        <w:t>as provided in CPLR 4532-a</w:t>
      </w:r>
      <w:r w:rsidR="00B22D8F">
        <w:rPr>
          <w:rFonts w:eastAsia="Times New Roman"/>
          <w:b/>
          <w:bCs/>
          <w:sz w:val="28"/>
          <w:szCs w:val="28"/>
        </w:rPr>
        <w:t>.</w:t>
      </w:r>
    </w:p>
    <w:bookmarkEnd w:id="2"/>
    <w:p w14:paraId="20203C1C" w14:textId="14D1C42A" w:rsidR="00606354" w:rsidRPr="00E03515" w:rsidRDefault="00606354" w:rsidP="00E03515">
      <w:pPr>
        <w:spacing w:before="0"/>
        <w:jc w:val="both"/>
        <w:rPr>
          <w:b/>
          <w:bCs/>
          <w:sz w:val="28"/>
          <w:szCs w:val="28"/>
        </w:rPr>
      </w:pPr>
    </w:p>
    <w:p w14:paraId="5E0FB53D" w14:textId="39250A11" w:rsidR="00606354" w:rsidRPr="007E0DDE" w:rsidRDefault="00E03515" w:rsidP="00E03515">
      <w:pPr>
        <w:pStyle w:val="ListParagraph"/>
        <w:spacing w:before="0"/>
        <w:ind w:left="1440" w:right="720"/>
        <w:jc w:val="both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(e)</w:t>
      </w:r>
      <w:r w:rsidR="00771AEE">
        <w:rPr>
          <w:rFonts w:eastAsia="Times New Roman"/>
          <w:b/>
          <w:bCs/>
          <w:sz w:val="28"/>
          <w:szCs w:val="28"/>
        </w:rPr>
        <w:t xml:space="preserve"> </w:t>
      </w:r>
      <w:r w:rsidR="00DB531F" w:rsidRPr="007E0DDE">
        <w:rPr>
          <w:rFonts w:eastAsia="Times New Roman"/>
          <w:b/>
          <w:bCs/>
          <w:sz w:val="28"/>
          <w:szCs w:val="28"/>
        </w:rPr>
        <w:t xml:space="preserve">Photometric </w:t>
      </w:r>
      <w:r w:rsidR="00606354" w:rsidRPr="007E0DDE">
        <w:rPr>
          <w:rFonts w:eastAsia="Times New Roman"/>
          <w:b/>
          <w:bCs/>
          <w:sz w:val="28"/>
          <w:szCs w:val="28"/>
          <w:lang w:val="x-none"/>
        </w:rPr>
        <w:t>testimony, limited to</w:t>
      </w:r>
      <w:r w:rsidR="00606354" w:rsidRPr="007E0DDE">
        <w:rPr>
          <w:rFonts w:eastAsia="Times New Roman"/>
          <w:b/>
          <w:bCs/>
          <w:sz w:val="28"/>
          <w:szCs w:val="28"/>
        </w:rPr>
        <w:t xml:space="preserve"> </w:t>
      </w:r>
      <w:r w:rsidR="00606354" w:rsidRPr="007E0DDE">
        <w:rPr>
          <w:rFonts w:eastAsia="Times New Roman"/>
          <w:b/>
          <w:bCs/>
          <w:sz w:val="28"/>
          <w:szCs w:val="28"/>
          <w:lang w:val="x-none"/>
        </w:rPr>
        <w:t>measurements of footprints</w:t>
      </w:r>
      <w:r w:rsidR="00B22D8F">
        <w:rPr>
          <w:rFonts w:eastAsia="Times New Roman"/>
          <w:b/>
          <w:bCs/>
          <w:sz w:val="28"/>
          <w:szCs w:val="28"/>
        </w:rPr>
        <w:t>.</w:t>
      </w:r>
    </w:p>
    <w:p w14:paraId="52325584" w14:textId="77777777" w:rsidR="00DB531F" w:rsidRPr="00E03515" w:rsidRDefault="00DB531F" w:rsidP="00E03515">
      <w:pPr>
        <w:spacing w:before="0"/>
        <w:rPr>
          <w:b/>
          <w:bCs/>
          <w:sz w:val="28"/>
          <w:szCs w:val="28"/>
        </w:rPr>
      </w:pPr>
    </w:p>
    <w:p w14:paraId="345F970B" w14:textId="09A6A29B" w:rsidR="00DB531F" w:rsidRPr="007E0DDE" w:rsidRDefault="00E03515" w:rsidP="00E03515">
      <w:pPr>
        <w:pStyle w:val="ListParagraph"/>
        <w:spacing w:before="0"/>
        <w:ind w:left="1440" w:righ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(f) </w:t>
      </w:r>
      <w:r w:rsidR="00DB531F" w:rsidRPr="007E0DDE">
        <w:rPr>
          <w:b/>
          <w:bCs/>
          <w:sz w:val="28"/>
          <w:szCs w:val="28"/>
        </w:rPr>
        <w:t xml:space="preserve">Radar </w:t>
      </w:r>
      <w:r w:rsidR="003643C0" w:rsidRPr="007E0DDE">
        <w:rPr>
          <w:b/>
          <w:bCs/>
          <w:sz w:val="28"/>
          <w:szCs w:val="28"/>
        </w:rPr>
        <w:t>speed</w:t>
      </w:r>
      <w:r w:rsidR="00A358D3" w:rsidRPr="007E0DDE">
        <w:rPr>
          <w:b/>
          <w:bCs/>
          <w:sz w:val="28"/>
          <w:szCs w:val="28"/>
        </w:rPr>
        <w:t>o</w:t>
      </w:r>
      <w:r w:rsidR="003643C0" w:rsidRPr="007E0DDE">
        <w:rPr>
          <w:b/>
          <w:bCs/>
          <w:sz w:val="28"/>
          <w:szCs w:val="28"/>
        </w:rPr>
        <w:t xml:space="preserve">meter </w:t>
      </w:r>
      <w:r w:rsidR="00DB531F" w:rsidRPr="007E0DDE">
        <w:rPr>
          <w:b/>
          <w:bCs/>
          <w:sz w:val="28"/>
          <w:szCs w:val="28"/>
        </w:rPr>
        <w:t>results</w:t>
      </w:r>
      <w:r w:rsidR="00DF6443" w:rsidRPr="007E0DDE">
        <w:rPr>
          <w:b/>
          <w:bCs/>
          <w:sz w:val="28"/>
          <w:szCs w:val="28"/>
        </w:rPr>
        <w:t>.</w:t>
      </w:r>
    </w:p>
    <w:p w14:paraId="1C74B2A7" w14:textId="77777777" w:rsidR="006D3DAD" w:rsidRPr="007E0DDE" w:rsidRDefault="006D3DAD" w:rsidP="00E03515">
      <w:pPr>
        <w:spacing w:before="0"/>
        <w:jc w:val="both"/>
        <w:rPr>
          <w:b/>
          <w:bCs/>
          <w:sz w:val="28"/>
          <w:szCs w:val="28"/>
        </w:rPr>
      </w:pPr>
    </w:p>
    <w:p w14:paraId="4E3AC4C1" w14:textId="0F7BC3DD" w:rsidR="00930870" w:rsidRPr="007E0DDE" w:rsidRDefault="00E03515" w:rsidP="00E03515">
      <w:pPr>
        <w:pStyle w:val="ListParagraph"/>
        <w:spacing w:before="0"/>
        <w:ind w:left="733" w:righ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(2) </w:t>
      </w:r>
      <w:r w:rsidR="00160432" w:rsidRPr="007E0DDE">
        <w:rPr>
          <w:b/>
          <w:bCs/>
          <w:sz w:val="28"/>
          <w:szCs w:val="28"/>
        </w:rPr>
        <w:t>Scientific evidence that has been held admissible</w:t>
      </w:r>
      <w:r w:rsidR="00FF6193" w:rsidRPr="007E0DDE">
        <w:rPr>
          <w:b/>
          <w:bCs/>
          <w:sz w:val="28"/>
          <w:szCs w:val="28"/>
        </w:rPr>
        <w:t xml:space="preserve"> </w:t>
      </w:r>
      <w:r w:rsidR="00E41568" w:rsidRPr="007E0DDE">
        <w:rPr>
          <w:b/>
          <w:bCs/>
          <w:sz w:val="28"/>
          <w:szCs w:val="28"/>
        </w:rPr>
        <w:t xml:space="preserve">by the Court of Appeals </w:t>
      </w:r>
      <w:r w:rsidR="00FF6193" w:rsidRPr="007E0DDE">
        <w:rPr>
          <w:b/>
          <w:bCs/>
          <w:sz w:val="28"/>
          <w:szCs w:val="28"/>
        </w:rPr>
        <w:t xml:space="preserve">but </w:t>
      </w:r>
      <w:r w:rsidR="00317461" w:rsidRPr="007E0DDE">
        <w:rPr>
          <w:b/>
          <w:bCs/>
          <w:sz w:val="28"/>
          <w:szCs w:val="28"/>
        </w:rPr>
        <w:t xml:space="preserve">whose reliability </w:t>
      </w:r>
      <w:r w:rsidR="00FF6193" w:rsidRPr="007E0DDE">
        <w:rPr>
          <w:b/>
          <w:bCs/>
          <w:sz w:val="28"/>
          <w:szCs w:val="28"/>
        </w:rPr>
        <w:t xml:space="preserve">has subsequently </w:t>
      </w:r>
      <w:r w:rsidR="00C615E6" w:rsidRPr="007E0DDE">
        <w:rPr>
          <w:b/>
          <w:bCs/>
          <w:sz w:val="28"/>
          <w:szCs w:val="28"/>
        </w:rPr>
        <w:t>been questioned</w:t>
      </w:r>
      <w:r w:rsidR="002B58E9" w:rsidRPr="007E0DDE">
        <w:rPr>
          <w:b/>
          <w:bCs/>
          <w:sz w:val="28"/>
          <w:szCs w:val="28"/>
        </w:rPr>
        <w:t xml:space="preserve"> include</w:t>
      </w:r>
      <w:r w:rsidR="00C80B63">
        <w:rPr>
          <w:b/>
          <w:bCs/>
          <w:sz w:val="28"/>
          <w:szCs w:val="28"/>
        </w:rPr>
        <w:t>s</w:t>
      </w:r>
      <w:r w:rsidR="00930870" w:rsidRPr="007E0DDE">
        <w:rPr>
          <w:b/>
          <w:bCs/>
          <w:sz w:val="28"/>
          <w:szCs w:val="28"/>
        </w:rPr>
        <w:t>:</w:t>
      </w:r>
    </w:p>
    <w:p w14:paraId="37439E3E" w14:textId="77777777" w:rsidR="007E68C4" w:rsidRPr="00E03515" w:rsidRDefault="007E68C4" w:rsidP="00E03515">
      <w:pPr>
        <w:spacing w:before="0"/>
        <w:jc w:val="both"/>
        <w:rPr>
          <w:b/>
          <w:bCs/>
          <w:sz w:val="28"/>
          <w:szCs w:val="28"/>
        </w:rPr>
      </w:pPr>
    </w:p>
    <w:p w14:paraId="2D89AD96" w14:textId="3C164881" w:rsidR="00A27303" w:rsidRPr="00E03515" w:rsidRDefault="00E03515" w:rsidP="00E03515">
      <w:pPr>
        <w:spacing w:before="0"/>
        <w:ind w:left="1440" w:righ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(a) </w:t>
      </w:r>
      <w:r w:rsidR="00A27303" w:rsidRPr="00E03515">
        <w:rPr>
          <w:b/>
          <w:bCs/>
          <w:sz w:val="28"/>
          <w:szCs w:val="28"/>
        </w:rPr>
        <w:t>Bite mark evidence as a means of identification</w:t>
      </w:r>
      <w:r w:rsidR="00904255">
        <w:rPr>
          <w:b/>
          <w:bCs/>
          <w:sz w:val="28"/>
          <w:szCs w:val="28"/>
        </w:rPr>
        <w:t>.</w:t>
      </w:r>
    </w:p>
    <w:p w14:paraId="42C4FCDD" w14:textId="77777777" w:rsidR="00E03515" w:rsidRPr="00E03515" w:rsidRDefault="00E03515" w:rsidP="00E03515">
      <w:pPr>
        <w:spacing w:before="0"/>
        <w:jc w:val="both"/>
        <w:rPr>
          <w:b/>
          <w:bCs/>
          <w:sz w:val="28"/>
          <w:szCs w:val="28"/>
        </w:rPr>
      </w:pPr>
    </w:p>
    <w:p w14:paraId="409BCEDF" w14:textId="7CDE4194" w:rsidR="00F546A5" w:rsidRPr="007E0DDE" w:rsidRDefault="00E03515" w:rsidP="00E03515">
      <w:pPr>
        <w:pStyle w:val="ListParagraph"/>
        <w:spacing w:before="0"/>
        <w:ind w:left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(b) </w:t>
      </w:r>
      <w:r w:rsidR="00F546A5" w:rsidRPr="007E0DDE">
        <w:rPr>
          <w:b/>
          <w:bCs/>
          <w:sz w:val="28"/>
          <w:szCs w:val="28"/>
        </w:rPr>
        <w:t>Comparative hair analysis evidence.</w:t>
      </w:r>
    </w:p>
    <w:p w14:paraId="7EA93289" w14:textId="48F308D3" w:rsidR="00E54D54" w:rsidRPr="007E0DDE" w:rsidRDefault="00E54D54" w:rsidP="007E0DDE">
      <w:pPr>
        <w:spacing w:before="0"/>
        <w:jc w:val="both"/>
        <w:rPr>
          <w:b/>
          <w:bCs/>
          <w:sz w:val="28"/>
          <w:szCs w:val="28"/>
        </w:rPr>
      </w:pPr>
    </w:p>
    <w:p w14:paraId="7AD71CB9" w14:textId="1A159EB9" w:rsidR="003334A1" w:rsidRPr="007E0DDE" w:rsidRDefault="00577CC1" w:rsidP="00E94351">
      <w:pPr>
        <w:pStyle w:val="ListParagraph"/>
        <w:spacing w:before="0"/>
        <w:ind w:right="720"/>
        <w:jc w:val="both"/>
        <w:rPr>
          <w:b/>
          <w:bCs/>
          <w:sz w:val="28"/>
          <w:szCs w:val="28"/>
        </w:rPr>
      </w:pPr>
      <w:r w:rsidRPr="007E0DDE">
        <w:rPr>
          <w:b/>
          <w:bCs/>
          <w:sz w:val="28"/>
          <w:szCs w:val="28"/>
        </w:rPr>
        <w:lastRenderedPageBreak/>
        <w:t xml:space="preserve">(3) </w:t>
      </w:r>
      <w:r w:rsidR="00124370" w:rsidRPr="007E0DDE">
        <w:rPr>
          <w:b/>
          <w:bCs/>
          <w:sz w:val="28"/>
          <w:szCs w:val="28"/>
        </w:rPr>
        <w:t xml:space="preserve">Purported scientific evidence </w:t>
      </w:r>
      <w:r w:rsidR="000D0FD6" w:rsidRPr="007E0DDE">
        <w:rPr>
          <w:b/>
          <w:bCs/>
          <w:sz w:val="28"/>
          <w:szCs w:val="28"/>
        </w:rPr>
        <w:t xml:space="preserve">that </w:t>
      </w:r>
      <w:r w:rsidR="00CA6A01" w:rsidRPr="007E0DDE">
        <w:rPr>
          <w:b/>
          <w:bCs/>
          <w:sz w:val="28"/>
          <w:szCs w:val="28"/>
        </w:rPr>
        <w:t>has been held</w:t>
      </w:r>
      <w:r w:rsidR="000D0FD6" w:rsidRPr="007E0DDE">
        <w:rPr>
          <w:b/>
          <w:bCs/>
          <w:sz w:val="28"/>
          <w:szCs w:val="28"/>
        </w:rPr>
        <w:t xml:space="preserve"> </w:t>
      </w:r>
      <w:r w:rsidR="008B080E" w:rsidRPr="007E0DDE">
        <w:rPr>
          <w:b/>
          <w:bCs/>
          <w:sz w:val="28"/>
          <w:szCs w:val="28"/>
        </w:rPr>
        <w:t>n</w:t>
      </w:r>
      <w:r w:rsidR="00124370" w:rsidRPr="007E0DDE">
        <w:rPr>
          <w:b/>
          <w:bCs/>
          <w:sz w:val="28"/>
          <w:szCs w:val="28"/>
        </w:rPr>
        <w:t xml:space="preserve">ot </w:t>
      </w:r>
      <w:r w:rsidR="00813F86" w:rsidRPr="007E0DDE">
        <w:rPr>
          <w:b/>
          <w:bCs/>
          <w:sz w:val="28"/>
          <w:szCs w:val="28"/>
        </w:rPr>
        <w:t>admissible</w:t>
      </w:r>
      <w:r w:rsidR="00D524FE" w:rsidRPr="007E0DDE">
        <w:rPr>
          <w:b/>
          <w:bCs/>
          <w:sz w:val="28"/>
          <w:szCs w:val="28"/>
        </w:rPr>
        <w:t xml:space="preserve"> </w:t>
      </w:r>
      <w:r w:rsidR="00124370" w:rsidRPr="007E0DDE">
        <w:rPr>
          <w:b/>
          <w:bCs/>
          <w:sz w:val="28"/>
          <w:szCs w:val="28"/>
        </w:rPr>
        <w:t>include</w:t>
      </w:r>
      <w:r w:rsidR="00C80B63">
        <w:rPr>
          <w:b/>
          <w:bCs/>
          <w:sz w:val="28"/>
          <w:szCs w:val="28"/>
        </w:rPr>
        <w:t>s</w:t>
      </w:r>
      <w:r w:rsidR="00124370" w:rsidRPr="007E0DDE">
        <w:rPr>
          <w:b/>
          <w:bCs/>
          <w:sz w:val="28"/>
          <w:szCs w:val="28"/>
        </w:rPr>
        <w:t>:</w:t>
      </w:r>
    </w:p>
    <w:p w14:paraId="3836DCBA" w14:textId="054C4511" w:rsidR="00813F86" w:rsidRPr="007E0DDE" w:rsidRDefault="00813F86" w:rsidP="007E0DDE">
      <w:pPr>
        <w:spacing w:before="0"/>
        <w:jc w:val="both"/>
        <w:rPr>
          <w:b/>
          <w:bCs/>
          <w:sz w:val="28"/>
          <w:szCs w:val="28"/>
        </w:rPr>
      </w:pPr>
    </w:p>
    <w:p w14:paraId="5045C00B" w14:textId="58998F86" w:rsidR="00387CFD" w:rsidRDefault="00E94351" w:rsidP="00E94351">
      <w:pPr>
        <w:pStyle w:val="ListParagraph"/>
        <w:spacing w:before="0"/>
        <w:ind w:left="1453" w:righ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(a) </w:t>
      </w:r>
      <w:r w:rsidR="00372638" w:rsidRPr="007E0DDE">
        <w:rPr>
          <w:b/>
          <w:bCs/>
          <w:sz w:val="28"/>
          <w:szCs w:val="28"/>
        </w:rPr>
        <w:t>The results of a polygraph examination</w:t>
      </w:r>
      <w:r w:rsidR="00F944F8">
        <w:rPr>
          <w:b/>
          <w:bCs/>
          <w:sz w:val="28"/>
          <w:szCs w:val="28"/>
        </w:rPr>
        <w:t>.</w:t>
      </w:r>
    </w:p>
    <w:p w14:paraId="427FA1F6" w14:textId="77777777" w:rsidR="00E94351" w:rsidRPr="003B7F00" w:rsidRDefault="00E94351" w:rsidP="003B7F00">
      <w:pPr>
        <w:spacing w:before="0"/>
        <w:ind w:right="1152"/>
        <w:jc w:val="both"/>
        <w:rPr>
          <w:b/>
          <w:bCs/>
          <w:sz w:val="28"/>
          <w:szCs w:val="28"/>
        </w:rPr>
      </w:pPr>
    </w:p>
    <w:p w14:paraId="467176D5" w14:textId="42208701" w:rsidR="00372638" w:rsidRPr="007E0DDE" w:rsidRDefault="00E94351" w:rsidP="00E94351">
      <w:pPr>
        <w:pStyle w:val="ListParagraph"/>
        <w:spacing w:before="0"/>
        <w:ind w:left="1453" w:righ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(b) </w:t>
      </w:r>
      <w:r w:rsidR="00387CFD" w:rsidRPr="007E0DDE">
        <w:rPr>
          <w:b/>
          <w:bCs/>
          <w:sz w:val="28"/>
          <w:szCs w:val="28"/>
        </w:rPr>
        <w:t>The results of voice spectrographic evidence.</w:t>
      </w:r>
    </w:p>
    <w:p w14:paraId="70D72F4B" w14:textId="77777777" w:rsidR="00DF6443" w:rsidRPr="0033312E" w:rsidRDefault="00DF6443" w:rsidP="0033312E">
      <w:pPr>
        <w:spacing w:before="0"/>
        <w:rPr>
          <w:b/>
          <w:bCs/>
          <w:sz w:val="28"/>
          <w:szCs w:val="28"/>
        </w:rPr>
      </w:pPr>
    </w:p>
    <w:p w14:paraId="3220D6C1" w14:textId="5FA1947D" w:rsidR="006C66C6" w:rsidRPr="007E0DDE" w:rsidRDefault="00E9117F" w:rsidP="0033312E">
      <w:pPr>
        <w:spacing w:before="0"/>
        <w:ind w:left="720" w:right="720"/>
        <w:jc w:val="both"/>
        <w:rPr>
          <w:b/>
          <w:bCs/>
          <w:sz w:val="28"/>
          <w:szCs w:val="28"/>
        </w:rPr>
      </w:pPr>
      <w:r w:rsidRPr="007E0DDE">
        <w:rPr>
          <w:b/>
          <w:bCs/>
          <w:sz w:val="28"/>
          <w:szCs w:val="28"/>
        </w:rPr>
        <w:t xml:space="preserve">(4) </w:t>
      </w:r>
      <w:r w:rsidR="007D23F8" w:rsidRPr="007E0DDE">
        <w:rPr>
          <w:b/>
          <w:bCs/>
          <w:sz w:val="28"/>
          <w:szCs w:val="28"/>
        </w:rPr>
        <w:t>Notwithstanding that evidence o</w:t>
      </w:r>
      <w:r w:rsidR="00674AB5" w:rsidRPr="007E0DDE">
        <w:rPr>
          <w:b/>
          <w:bCs/>
          <w:sz w:val="28"/>
          <w:szCs w:val="28"/>
        </w:rPr>
        <w:t>f</w:t>
      </w:r>
      <w:r w:rsidR="007D23F8" w:rsidRPr="007E0DDE">
        <w:rPr>
          <w:b/>
          <w:bCs/>
          <w:sz w:val="28"/>
          <w:szCs w:val="28"/>
        </w:rPr>
        <w:t xml:space="preserve"> a particular subject has been accepted</w:t>
      </w:r>
      <w:r w:rsidR="00613084" w:rsidRPr="007E0DDE">
        <w:rPr>
          <w:b/>
          <w:bCs/>
          <w:sz w:val="28"/>
          <w:szCs w:val="28"/>
        </w:rPr>
        <w:t xml:space="preserve"> in a scientific community</w:t>
      </w:r>
      <w:r w:rsidR="007D23F8" w:rsidRPr="007E0DDE">
        <w:rPr>
          <w:b/>
          <w:bCs/>
          <w:sz w:val="28"/>
          <w:szCs w:val="28"/>
        </w:rPr>
        <w:t xml:space="preserve">, the </w:t>
      </w:r>
      <w:r w:rsidR="00B37947" w:rsidRPr="007E0DDE">
        <w:rPr>
          <w:b/>
          <w:bCs/>
          <w:sz w:val="28"/>
          <w:szCs w:val="28"/>
        </w:rPr>
        <w:t xml:space="preserve">evolving views and opinions </w:t>
      </w:r>
      <w:bookmarkStart w:id="3" w:name="_Hlk102552629"/>
      <w:r w:rsidR="00B37947" w:rsidRPr="007E0DDE">
        <w:rPr>
          <w:b/>
          <w:bCs/>
          <w:sz w:val="28"/>
          <w:szCs w:val="28"/>
        </w:rPr>
        <w:t>in a scientific community</w:t>
      </w:r>
      <w:bookmarkEnd w:id="3"/>
      <w:r w:rsidR="00B37947" w:rsidRPr="007E0DDE">
        <w:rPr>
          <w:b/>
          <w:bCs/>
          <w:sz w:val="28"/>
          <w:szCs w:val="28"/>
        </w:rPr>
        <w:t xml:space="preserve"> may occasionally require </w:t>
      </w:r>
      <w:r w:rsidR="00E44FB0" w:rsidRPr="007E0DDE">
        <w:rPr>
          <w:b/>
          <w:bCs/>
          <w:sz w:val="28"/>
          <w:szCs w:val="28"/>
        </w:rPr>
        <w:t xml:space="preserve">a </w:t>
      </w:r>
      <w:r w:rsidR="00E44FB0" w:rsidRPr="007E0DDE">
        <w:rPr>
          <w:b/>
          <w:bCs/>
          <w:i/>
          <w:sz w:val="28"/>
          <w:szCs w:val="28"/>
        </w:rPr>
        <w:t xml:space="preserve">Frye </w:t>
      </w:r>
      <w:r w:rsidR="00E44FB0" w:rsidRPr="007E0DDE">
        <w:rPr>
          <w:b/>
          <w:bCs/>
          <w:sz w:val="28"/>
          <w:szCs w:val="28"/>
        </w:rPr>
        <w:t xml:space="preserve">hearing </w:t>
      </w:r>
      <w:r w:rsidR="00B56DBD" w:rsidRPr="007E0DDE">
        <w:rPr>
          <w:b/>
          <w:bCs/>
          <w:sz w:val="28"/>
          <w:szCs w:val="28"/>
        </w:rPr>
        <w:t xml:space="preserve">with respect to previously accepted </w:t>
      </w:r>
      <w:r w:rsidR="008B080E" w:rsidRPr="007E0DDE">
        <w:rPr>
          <w:b/>
          <w:bCs/>
          <w:sz w:val="28"/>
          <w:szCs w:val="28"/>
        </w:rPr>
        <w:t>scientific evidence.</w:t>
      </w:r>
      <w:r w:rsidR="006C66C6" w:rsidRPr="007E0DDE">
        <w:rPr>
          <w:b/>
          <w:bCs/>
          <w:sz w:val="28"/>
          <w:szCs w:val="28"/>
        </w:rPr>
        <w:t xml:space="preserve"> </w:t>
      </w:r>
      <w:r w:rsidR="00A614BC" w:rsidRPr="007E0DDE">
        <w:rPr>
          <w:b/>
          <w:bCs/>
          <w:sz w:val="28"/>
          <w:szCs w:val="28"/>
        </w:rPr>
        <w:t>S</w:t>
      </w:r>
      <w:r w:rsidR="002F4AEB" w:rsidRPr="007E0DDE">
        <w:rPr>
          <w:b/>
          <w:bCs/>
          <w:sz w:val="28"/>
          <w:szCs w:val="28"/>
        </w:rPr>
        <w:t>c</w:t>
      </w:r>
      <w:r w:rsidR="00C2667D" w:rsidRPr="007E0DDE">
        <w:rPr>
          <w:b/>
          <w:bCs/>
          <w:sz w:val="28"/>
          <w:szCs w:val="28"/>
        </w:rPr>
        <w:t xml:space="preserve">ientific evidence </w:t>
      </w:r>
      <w:r w:rsidR="0056015D" w:rsidRPr="007E0DDE">
        <w:rPr>
          <w:b/>
          <w:bCs/>
          <w:sz w:val="28"/>
          <w:szCs w:val="28"/>
        </w:rPr>
        <w:t xml:space="preserve">that </w:t>
      </w:r>
      <w:r w:rsidR="00A614BC" w:rsidRPr="007E0DDE">
        <w:rPr>
          <w:b/>
          <w:bCs/>
          <w:sz w:val="28"/>
          <w:szCs w:val="28"/>
        </w:rPr>
        <w:t>has been previously</w:t>
      </w:r>
      <w:r w:rsidR="0056015D" w:rsidRPr="007E0DDE">
        <w:rPr>
          <w:b/>
          <w:bCs/>
          <w:sz w:val="28"/>
          <w:szCs w:val="28"/>
        </w:rPr>
        <w:t xml:space="preserve"> accepted within the</w:t>
      </w:r>
      <w:r w:rsidR="00390DBB">
        <w:rPr>
          <w:b/>
          <w:bCs/>
          <w:sz w:val="28"/>
          <w:szCs w:val="28"/>
        </w:rPr>
        <w:t xml:space="preserve"> </w:t>
      </w:r>
      <w:r w:rsidR="0056015D" w:rsidRPr="007E0DDE">
        <w:rPr>
          <w:b/>
          <w:bCs/>
          <w:sz w:val="28"/>
          <w:szCs w:val="28"/>
        </w:rPr>
        <w:t>relevant scientific communit</w:t>
      </w:r>
      <w:r w:rsidR="00390DBB">
        <w:rPr>
          <w:b/>
          <w:bCs/>
          <w:sz w:val="28"/>
          <w:szCs w:val="28"/>
        </w:rPr>
        <w:t>y</w:t>
      </w:r>
      <w:r w:rsidR="0056015D" w:rsidRPr="007E0DDE">
        <w:rPr>
          <w:b/>
          <w:bCs/>
          <w:sz w:val="28"/>
          <w:szCs w:val="28"/>
        </w:rPr>
        <w:t xml:space="preserve"> but </w:t>
      </w:r>
      <w:r w:rsidR="00A614BC" w:rsidRPr="007E0DDE">
        <w:rPr>
          <w:b/>
          <w:bCs/>
          <w:sz w:val="28"/>
          <w:szCs w:val="28"/>
        </w:rPr>
        <w:t>has since</w:t>
      </w:r>
      <w:r w:rsidR="0056015D" w:rsidRPr="007E0DDE">
        <w:rPr>
          <w:b/>
          <w:bCs/>
          <w:sz w:val="28"/>
          <w:szCs w:val="28"/>
        </w:rPr>
        <w:t xml:space="preserve"> </w:t>
      </w:r>
      <w:r w:rsidR="00782A68" w:rsidRPr="007E0DDE">
        <w:rPr>
          <w:b/>
          <w:bCs/>
          <w:sz w:val="28"/>
          <w:szCs w:val="28"/>
        </w:rPr>
        <w:t>come into question include</w:t>
      </w:r>
      <w:r w:rsidR="00390DBB">
        <w:rPr>
          <w:b/>
          <w:bCs/>
          <w:sz w:val="28"/>
          <w:szCs w:val="28"/>
        </w:rPr>
        <w:t>s</w:t>
      </w:r>
      <w:r w:rsidR="00782A68" w:rsidRPr="007E0DDE">
        <w:rPr>
          <w:b/>
          <w:bCs/>
          <w:sz w:val="28"/>
          <w:szCs w:val="28"/>
        </w:rPr>
        <w:t xml:space="preserve">: </w:t>
      </w:r>
      <w:r w:rsidR="0056015D" w:rsidRPr="007E0DDE">
        <w:rPr>
          <w:b/>
          <w:bCs/>
          <w:sz w:val="28"/>
          <w:szCs w:val="28"/>
        </w:rPr>
        <w:t>hair comparisons, fire origin, comparative bullet lead analysis, bite mark matching, and bloodstain-pattern analysis</w:t>
      </w:r>
      <w:r w:rsidR="00317E85" w:rsidRPr="007E0DDE">
        <w:rPr>
          <w:b/>
          <w:bCs/>
          <w:sz w:val="28"/>
          <w:szCs w:val="28"/>
        </w:rPr>
        <w:t xml:space="preserve">. </w:t>
      </w:r>
      <w:r w:rsidR="006C66C6" w:rsidRPr="007E0DDE">
        <w:rPr>
          <w:b/>
          <w:bCs/>
          <w:sz w:val="28"/>
          <w:szCs w:val="28"/>
        </w:rPr>
        <w:t xml:space="preserve">At the same time, evolving views and opinions in the scientific community about a particular subject may justify the admission of </w:t>
      </w:r>
      <w:r w:rsidR="005F3879" w:rsidRPr="007E0DDE">
        <w:rPr>
          <w:b/>
          <w:bCs/>
          <w:sz w:val="28"/>
          <w:szCs w:val="28"/>
        </w:rPr>
        <w:t xml:space="preserve">such </w:t>
      </w:r>
      <w:r w:rsidR="006C66C6" w:rsidRPr="007E0DDE">
        <w:rPr>
          <w:b/>
          <w:bCs/>
          <w:sz w:val="28"/>
          <w:szCs w:val="28"/>
        </w:rPr>
        <w:t>evidence notwithstanding that it ha</w:t>
      </w:r>
      <w:r w:rsidR="002F2048">
        <w:rPr>
          <w:b/>
          <w:bCs/>
          <w:sz w:val="28"/>
          <w:szCs w:val="28"/>
        </w:rPr>
        <w:t xml:space="preserve">s </w:t>
      </w:r>
      <w:r w:rsidR="006C66C6" w:rsidRPr="007E0DDE">
        <w:rPr>
          <w:b/>
          <w:bCs/>
          <w:sz w:val="28"/>
          <w:szCs w:val="28"/>
        </w:rPr>
        <w:t>not been previously accepted.</w:t>
      </w:r>
    </w:p>
    <w:p w14:paraId="38339D12" w14:textId="77777777" w:rsidR="00D930DD" w:rsidRPr="007E0DDE" w:rsidRDefault="00D930DD" w:rsidP="007E0DDE">
      <w:pPr>
        <w:spacing w:before="0"/>
        <w:jc w:val="both"/>
        <w:rPr>
          <w:b/>
          <w:bCs/>
          <w:sz w:val="28"/>
          <w:szCs w:val="28"/>
        </w:rPr>
      </w:pPr>
    </w:p>
    <w:p w14:paraId="2234734F" w14:textId="712D5DE1" w:rsidR="00813F86" w:rsidRPr="007E0DDE" w:rsidRDefault="00D62F58" w:rsidP="007E0DDE">
      <w:pPr>
        <w:spacing w:before="0"/>
        <w:jc w:val="center"/>
        <w:rPr>
          <w:b/>
          <w:bCs/>
        </w:rPr>
      </w:pPr>
      <w:r w:rsidRPr="007E0DDE">
        <w:rPr>
          <w:b/>
          <w:bCs/>
        </w:rPr>
        <w:t>N</w:t>
      </w:r>
      <w:r w:rsidR="00581085" w:rsidRPr="007E0DDE">
        <w:rPr>
          <w:b/>
          <w:bCs/>
        </w:rPr>
        <w:t>ote</w:t>
      </w:r>
    </w:p>
    <w:p w14:paraId="5567B6A5" w14:textId="77777777" w:rsidR="001C4D1E" w:rsidRPr="007E0DDE" w:rsidRDefault="001C4D1E" w:rsidP="007E0DDE">
      <w:pPr>
        <w:spacing w:before="0"/>
        <w:jc w:val="center"/>
        <w:rPr>
          <w:b/>
          <w:bCs/>
        </w:rPr>
      </w:pPr>
    </w:p>
    <w:p w14:paraId="7A2CEA65" w14:textId="1F0AC0CC" w:rsidR="00813F86" w:rsidRPr="007E0DDE" w:rsidRDefault="0033312E" w:rsidP="0033312E">
      <w:pPr>
        <w:tabs>
          <w:tab w:val="left" w:pos="720"/>
        </w:tabs>
        <w:spacing w:before="0"/>
        <w:jc w:val="both"/>
      </w:pPr>
      <w:r>
        <w:rPr>
          <w:rFonts w:eastAsia="Times New Roman"/>
        </w:rPr>
        <w:tab/>
      </w:r>
      <w:r w:rsidR="001C4D1E" w:rsidRPr="007E0DDE">
        <w:rPr>
          <w:rFonts w:eastAsia="Times New Roman"/>
        </w:rPr>
        <w:t>The admissibility of DNA evidence will be the subject of a separate rule.</w:t>
      </w:r>
    </w:p>
    <w:p w14:paraId="2A129AFD" w14:textId="77777777" w:rsidR="001C4D1E" w:rsidRPr="007E0DDE" w:rsidRDefault="001C4D1E" w:rsidP="007E0DDE">
      <w:pPr>
        <w:spacing w:before="0"/>
        <w:jc w:val="both"/>
      </w:pPr>
    </w:p>
    <w:p w14:paraId="691E0CB9" w14:textId="583763B5" w:rsidR="00AF5057" w:rsidRPr="007E0DDE" w:rsidRDefault="0033312E" w:rsidP="0033312E">
      <w:pPr>
        <w:tabs>
          <w:tab w:val="left" w:pos="720"/>
        </w:tabs>
        <w:autoSpaceDE w:val="0"/>
        <w:autoSpaceDN w:val="0"/>
        <w:adjustRightInd w:val="0"/>
        <w:snapToGrid w:val="0"/>
        <w:spacing w:before="0"/>
        <w:jc w:val="both"/>
        <w:rPr>
          <w:rFonts w:eastAsia="Times New Roman"/>
        </w:rPr>
      </w:pPr>
      <w:r>
        <w:rPr>
          <w:b/>
          <w:bCs/>
        </w:rPr>
        <w:tab/>
      </w:r>
      <w:r w:rsidR="004F0521" w:rsidRPr="007E0DDE">
        <w:rPr>
          <w:b/>
          <w:bCs/>
        </w:rPr>
        <w:t>Subdivision (1)</w:t>
      </w:r>
      <w:r w:rsidR="00D22844" w:rsidRPr="007E0DDE">
        <w:rPr>
          <w:b/>
          <w:bCs/>
        </w:rPr>
        <w:t xml:space="preserve"> </w:t>
      </w:r>
      <w:r w:rsidR="004F0521" w:rsidRPr="007E0DDE">
        <w:rPr>
          <w:b/>
          <w:bCs/>
        </w:rPr>
        <w:t>(a)</w:t>
      </w:r>
      <w:r w:rsidR="004F0521" w:rsidRPr="007E0DDE">
        <w:t xml:space="preserve"> </w:t>
      </w:r>
      <w:r w:rsidR="006759F2" w:rsidRPr="007E0DDE">
        <w:t xml:space="preserve">is derived from Court of Appeals </w:t>
      </w:r>
      <w:r w:rsidR="004B7386" w:rsidRPr="007E0DDE">
        <w:t>decisions</w:t>
      </w:r>
      <w:r w:rsidR="006759F2" w:rsidRPr="007E0DDE">
        <w:rPr>
          <w:i/>
          <w:iCs/>
        </w:rPr>
        <w:t>.</w:t>
      </w:r>
      <w:r w:rsidR="00C37E88" w:rsidRPr="007E0DDE">
        <w:t xml:space="preserve"> (</w:t>
      </w:r>
      <w:bookmarkStart w:id="4" w:name="_Hlk95255376"/>
      <w:r w:rsidR="00463426" w:rsidRPr="007E0DDE">
        <w:rPr>
          <w:i/>
          <w:iCs/>
        </w:rPr>
        <w:t>See People v Knight</w:t>
      </w:r>
      <w:r w:rsidR="00463426" w:rsidRPr="007E0DDE">
        <w:t xml:space="preserve">, 72 NY2d 481, 485 [1988] </w:t>
      </w:r>
      <w:bookmarkEnd w:id="4"/>
      <w:r w:rsidR="00463426" w:rsidRPr="007E0DDE">
        <w:t xml:space="preserve">[there are </w:t>
      </w:r>
      <w:r w:rsidR="00722FD2" w:rsidRPr="007E0DDE">
        <w:t xml:space="preserve">a </w:t>
      </w:r>
      <w:r w:rsidR="00463426" w:rsidRPr="007E0DDE">
        <w:t xml:space="preserve">“variety of scientific methods routinely accepted in our courts for their general reliability, including . . . ballistic evidence”]; </w:t>
      </w:r>
      <w:r w:rsidR="00796C78" w:rsidRPr="007E0DDE">
        <w:rPr>
          <w:i/>
          <w:iCs/>
        </w:rPr>
        <w:t>People v Romeo</w:t>
      </w:r>
      <w:r w:rsidR="00796C78" w:rsidRPr="007E0DDE">
        <w:t xml:space="preserve">, 12 NY3d 51, 53 [2009] [“Ballistics evidence . . . indicated that a gun belonging to defendant was the murder weapon”]; </w:t>
      </w:r>
      <w:r w:rsidR="00796C78" w:rsidRPr="007E0DDE">
        <w:rPr>
          <w:i/>
          <w:iCs/>
        </w:rPr>
        <w:t>People v Vataj</w:t>
      </w:r>
      <w:r w:rsidR="00796C78" w:rsidRPr="007E0DDE">
        <w:t>, 69 NY2d 985, 987 [1987] [“A ballistics test matched a spent bullet recovered from the scene of the crime with a bullet from defendant</w:t>
      </w:r>
      <w:r w:rsidR="0034567F">
        <w:t>’</w:t>
      </w:r>
      <w:r w:rsidR="00796C78" w:rsidRPr="007E0DDE">
        <w:t>s gun”]</w:t>
      </w:r>
      <w:r w:rsidR="008807D4" w:rsidRPr="007E0DDE">
        <w:t>;</w:t>
      </w:r>
      <w:r w:rsidR="002745A9" w:rsidRPr="007E0DDE">
        <w:t xml:space="preserve"> </w:t>
      </w:r>
      <w:r w:rsidR="007E274F" w:rsidRPr="007E0DDE">
        <w:rPr>
          <w:i/>
          <w:iCs/>
        </w:rPr>
        <w:t>People v Soper</w:t>
      </w:r>
      <w:r w:rsidR="007E274F" w:rsidRPr="007E0DDE">
        <w:t xml:space="preserve">, 243 NY 320, 325 [1926] [“The bullets found in the body of the deceased were fired from a revolver of the same calibre as the revolver which was found . . . </w:t>
      </w:r>
      <w:r w:rsidR="006D63DC" w:rsidRPr="007E0DDE">
        <w:t>(</w:t>
      </w:r>
      <w:r w:rsidR="00E247FC" w:rsidRPr="007E0DDE">
        <w:t>T</w:t>
      </w:r>
      <w:r w:rsidR="006D63DC" w:rsidRPr="007E0DDE">
        <w:t>)</w:t>
      </w:r>
      <w:r w:rsidR="007E274F" w:rsidRPr="007E0DDE">
        <w:t>wo experts produced by the prosecution testified, in effect, that they found and measured certain marks on the bullets and that these marks corresponded exactly with so-called ‘grooves</w:t>
      </w:r>
      <w:r w:rsidR="008807D4" w:rsidRPr="007E0DDE">
        <w:t>’</w:t>
      </w:r>
      <w:r w:rsidR="007E274F" w:rsidRPr="007E0DDE">
        <w:t xml:space="preserve"> and ‘lands</w:t>
      </w:r>
      <w:r w:rsidR="008807D4" w:rsidRPr="007E0DDE">
        <w:t>’</w:t>
      </w:r>
      <w:r w:rsidR="007E274F" w:rsidRPr="007E0DDE">
        <w:t xml:space="preserve"> in the barrel of the revolver and that these bullets were fired from that particular revolver”]</w:t>
      </w:r>
      <w:r w:rsidR="006D63DC" w:rsidRPr="007E0DDE">
        <w:t>.</w:t>
      </w:r>
      <w:r w:rsidR="00C37E88" w:rsidRPr="007E0DDE">
        <w:t>)</w:t>
      </w:r>
      <w:r w:rsidR="009C4899" w:rsidRPr="007E0DDE">
        <w:t xml:space="preserve"> </w:t>
      </w:r>
      <w:r w:rsidR="00386BE4" w:rsidRPr="007E0DDE">
        <w:t xml:space="preserve">In 2020, the Court of Appeals </w:t>
      </w:r>
      <w:r w:rsidR="00DD3021" w:rsidRPr="007E0DDE">
        <w:t>noted that</w:t>
      </w:r>
      <w:r w:rsidR="00765B9E" w:rsidRPr="007E0DDE">
        <w:t xml:space="preserve"> the reliability of</w:t>
      </w:r>
      <w:r w:rsidR="00833CC8" w:rsidRPr="007E0DDE">
        <w:t xml:space="preserve"> </w:t>
      </w:r>
      <w:r w:rsidR="000C5CAF" w:rsidRPr="007E0DDE">
        <w:t>“</w:t>
      </w:r>
      <w:r w:rsidR="000C5CAF" w:rsidRPr="007E0DDE">
        <w:rPr>
          <w:rFonts w:eastAsia="Times New Roman"/>
        </w:rPr>
        <w:t>comparative bullet lead analysis”</w:t>
      </w:r>
      <w:r w:rsidR="000C5CAF" w:rsidRPr="007E0DDE">
        <w:t xml:space="preserve"> (i.e. the comparing by chemical analysis of a bullet at a crime scene with a bullet found in possession of the defendant)</w:t>
      </w:r>
      <w:r w:rsidR="002E6723" w:rsidRPr="007E0DDE">
        <w:t xml:space="preserve">, while </w:t>
      </w:r>
      <w:r w:rsidR="00293D85" w:rsidRPr="007E0DDE">
        <w:t>previously accepted</w:t>
      </w:r>
      <w:r w:rsidR="00765B9E" w:rsidRPr="007E0DDE">
        <w:t xml:space="preserve"> </w:t>
      </w:r>
      <w:r w:rsidR="00293D85" w:rsidRPr="007E0DDE">
        <w:t xml:space="preserve">by </w:t>
      </w:r>
      <w:r w:rsidR="00634A5A" w:rsidRPr="007E0DDE">
        <w:t xml:space="preserve">other </w:t>
      </w:r>
      <w:r w:rsidR="00293D85" w:rsidRPr="007E0DDE">
        <w:t>courts, was presently questionable.</w:t>
      </w:r>
      <w:r w:rsidR="00B8584A" w:rsidRPr="007E0DDE">
        <w:rPr>
          <w:rFonts w:eastAsia="Times New Roman"/>
        </w:rPr>
        <w:t xml:space="preserve"> </w:t>
      </w:r>
      <w:r w:rsidR="006D63DC" w:rsidRPr="007E0DDE">
        <w:rPr>
          <w:rFonts w:eastAsia="Times New Roman"/>
        </w:rPr>
        <w:t>(</w:t>
      </w:r>
      <w:r w:rsidR="00B8584A" w:rsidRPr="007E0DDE">
        <w:rPr>
          <w:rFonts w:eastAsia="Times New Roman"/>
          <w:i/>
          <w:iCs/>
        </w:rPr>
        <w:t>People v Williams</w:t>
      </w:r>
      <w:r w:rsidR="00B8584A" w:rsidRPr="007E0DDE">
        <w:rPr>
          <w:rFonts w:eastAsia="Times New Roman"/>
        </w:rPr>
        <w:t>, 35 NY3d 24, 43 [2020]</w:t>
      </w:r>
      <w:r w:rsidR="00A5097B" w:rsidRPr="007E0DDE">
        <w:rPr>
          <w:rFonts w:eastAsia="Times New Roman"/>
        </w:rPr>
        <w:t>.</w:t>
      </w:r>
      <w:r w:rsidR="006D63DC" w:rsidRPr="007E0DDE">
        <w:rPr>
          <w:rFonts w:eastAsia="Times New Roman"/>
        </w:rPr>
        <w:t>)</w:t>
      </w:r>
    </w:p>
    <w:p w14:paraId="2E3EC0EC" w14:textId="77777777" w:rsidR="00AF5057" w:rsidRPr="007E0DDE" w:rsidRDefault="00AF5057" w:rsidP="0033312E">
      <w:pPr>
        <w:autoSpaceDE w:val="0"/>
        <w:autoSpaceDN w:val="0"/>
        <w:adjustRightInd w:val="0"/>
        <w:snapToGrid w:val="0"/>
        <w:spacing w:before="0"/>
        <w:jc w:val="both"/>
        <w:rPr>
          <w:rFonts w:eastAsia="Times New Roman"/>
        </w:rPr>
      </w:pPr>
    </w:p>
    <w:p w14:paraId="3F0ACD87" w14:textId="0E17F30F" w:rsidR="00C53226" w:rsidRPr="007E0DDE" w:rsidRDefault="0033312E" w:rsidP="0068420B">
      <w:pPr>
        <w:tabs>
          <w:tab w:val="left" w:pos="720"/>
        </w:tabs>
        <w:autoSpaceDE w:val="0"/>
        <w:autoSpaceDN w:val="0"/>
        <w:adjustRightInd w:val="0"/>
        <w:snapToGrid w:val="0"/>
        <w:spacing w:before="0"/>
        <w:jc w:val="both"/>
        <w:rPr>
          <w:rFonts w:eastAsia="Times New Roman"/>
          <w:color w:val="000000"/>
        </w:rPr>
      </w:pPr>
      <w:r>
        <w:rPr>
          <w:b/>
          <w:bCs/>
        </w:rPr>
        <w:tab/>
      </w:r>
      <w:r w:rsidR="00D63252" w:rsidRPr="007E0DDE">
        <w:rPr>
          <w:b/>
          <w:bCs/>
        </w:rPr>
        <w:t>Subdivision (1)</w:t>
      </w:r>
      <w:r w:rsidR="006D63DC" w:rsidRPr="007E0DDE">
        <w:rPr>
          <w:b/>
          <w:bCs/>
        </w:rPr>
        <w:t xml:space="preserve"> </w:t>
      </w:r>
      <w:r w:rsidR="002336FD" w:rsidRPr="007E0DDE">
        <w:rPr>
          <w:b/>
          <w:bCs/>
        </w:rPr>
        <w:t>(</w:t>
      </w:r>
      <w:r w:rsidR="00E97EEC" w:rsidRPr="007E0DDE">
        <w:rPr>
          <w:b/>
          <w:bCs/>
        </w:rPr>
        <w:t>b</w:t>
      </w:r>
      <w:r w:rsidR="002336FD" w:rsidRPr="007E0DDE">
        <w:rPr>
          <w:b/>
          <w:bCs/>
        </w:rPr>
        <w:t xml:space="preserve">) </w:t>
      </w:r>
      <w:r w:rsidR="008C3F03" w:rsidRPr="007E0DDE">
        <w:rPr>
          <w:rFonts w:eastAsia="Times New Roman"/>
          <w:color w:val="000000"/>
        </w:rPr>
        <w:t xml:space="preserve">is derived from </w:t>
      </w:r>
      <w:r w:rsidR="005A62C6" w:rsidRPr="007E0DDE">
        <w:rPr>
          <w:rFonts w:eastAsia="Times New Roman"/>
          <w:i/>
          <w:iCs/>
          <w:color w:val="000000"/>
        </w:rPr>
        <w:t>People v</w:t>
      </w:r>
      <w:r w:rsidR="00722FD2" w:rsidRPr="007E0DDE">
        <w:rPr>
          <w:rFonts w:eastAsia="Times New Roman"/>
          <w:i/>
          <w:iCs/>
          <w:color w:val="000000"/>
        </w:rPr>
        <w:t xml:space="preserve"> Mountain</w:t>
      </w:r>
      <w:r w:rsidR="005A62C6" w:rsidRPr="007E0DDE">
        <w:rPr>
          <w:rFonts w:eastAsia="Times New Roman"/>
          <w:i/>
          <w:iCs/>
          <w:color w:val="000000"/>
        </w:rPr>
        <w:t xml:space="preserve"> </w:t>
      </w:r>
      <w:r w:rsidR="004D46AC" w:rsidRPr="007E0DDE">
        <w:rPr>
          <w:rFonts w:eastAsia="Times New Roman"/>
          <w:color w:val="000000"/>
        </w:rPr>
        <w:t>(</w:t>
      </w:r>
      <w:r w:rsidR="005A62C6" w:rsidRPr="007E0DDE">
        <w:rPr>
          <w:rFonts w:eastAsia="Times New Roman"/>
          <w:color w:val="000000"/>
        </w:rPr>
        <w:t xml:space="preserve">66 NY2d 197, </w:t>
      </w:r>
      <w:r w:rsidR="00240172" w:rsidRPr="007E0DDE">
        <w:rPr>
          <w:rFonts w:eastAsia="Times New Roman"/>
          <w:color w:val="000000"/>
        </w:rPr>
        <w:t>202-</w:t>
      </w:r>
      <w:r w:rsidR="005A62C6" w:rsidRPr="007E0DDE">
        <w:rPr>
          <w:rFonts w:eastAsia="Times New Roman"/>
          <w:color w:val="000000"/>
        </w:rPr>
        <w:t>203 [1985]</w:t>
      </w:r>
      <w:r w:rsidR="004D46AC" w:rsidRPr="007E0DDE">
        <w:rPr>
          <w:rFonts w:eastAsia="Times New Roman"/>
          <w:color w:val="000000"/>
        </w:rPr>
        <w:t>)</w:t>
      </w:r>
      <w:r w:rsidR="000610AC" w:rsidRPr="007E0DDE">
        <w:rPr>
          <w:rFonts w:eastAsia="Times New Roman"/>
          <w:color w:val="000000"/>
        </w:rPr>
        <w:t>,</w:t>
      </w:r>
      <w:r w:rsidR="002C4F93" w:rsidRPr="007E0DDE">
        <w:rPr>
          <w:rFonts w:eastAsia="Times New Roman"/>
          <w:color w:val="000000"/>
        </w:rPr>
        <w:t xml:space="preserve"> which held:</w:t>
      </w:r>
      <w:r w:rsidR="0068420B">
        <w:rPr>
          <w:rFonts w:eastAsia="Times New Roman"/>
          <w:color w:val="000000"/>
        </w:rPr>
        <w:t xml:space="preserve"> </w:t>
      </w:r>
      <w:r w:rsidR="002C4F93" w:rsidRPr="007E0DDE">
        <w:rPr>
          <w:rFonts w:eastAsia="Times New Roman"/>
          <w:color w:val="000000"/>
        </w:rPr>
        <w:t>“</w:t>
      </w:r>
      <w:r w:rsidR="004C2B4D" w:rsidRPr="007E0DDE">
        <w:t xml:space="preserve">The scientific validity and reliability of tests used to identify the type of blood a particular individual carries and to determine whether the blood of one person matches that of another are well recognized in both the medical and legal communities </w:t>
      </w:r>
      <w:r w:rsidR="00A62AC2" w:rsidRPr="007E0DDE">
        <w:t xml:space="preserve">. . . </w:t>
      </w:r>
      <w:r w:rsidR="0068051A" w:rsidRPr="007E0DDE">
        <w:t>[T]</w:t>
      </w:r>
      <w:r w:rsidR="004C2B4D" w:rsidRPr="007E0DDE">
        <w:t>he relative rarity of the assailant</w:t>
      </w:r>
      <w:r w:rsidR="0034567F">
        <w:t>’</w:t>
      </w:r>
      <w:r w:rsidR="004C2B4D" w:rsidRPr="007E0DDE">
        <w:t>s type of blood relegates arguments as to remoteness to the realm of weight rather than admissibility</w:t>
      </w:r>
      <w:r w:rsidR="00430242" w:rsidRPr="007E0DDE">
        <w:t>.</w:t>
      </w:r>
      <w:r w:rsidR="00B425C8" w:rsidRPr="007E0DDE">
        <w:t>”</w:t>
      </w:r>
      <w:r w:rsidR="00430242" w:rsidRPr="007E0DDE">
        <w:t xml:space="preserve"> </w:t>
      </w:r>
      <w:r w:rsidR="00240172" w:rsidRPr="007E0DDE">
        <w:t>(</w:t>
      </w:r>
      <w:r w:rsidR="00430242" w:rsidRPr="007E0DDE">
        <w:rPr>
          <w:i/>
          <w:iCs/>
        </w:rPr>
        <w:t>B</w:t>
      </w:r>
      <w:r w:rsidR="00B425C8" w:rsidRPr="007E0DDE">
        <w:rPr>
          <w:i/>
          <w:iCs/>
        </w:rPr>
        <w:t>ut</w:t>
      </w:r>
      <w:r w:rsidR="00AF2AC1" w:rsidRPr="007E0DDE">
        <w:rPr>
          <w:i/>
          <w:iCs/>
        </w:rPr>
        <w:t xml:space="preserve"> see</w:t>
      </w:r>
      <w:r w:rsidR="00AF2AC1" w:rsidRPr="007E0DDE">
        <w:t xml:space="preserve"> </w:t>
      </w:r>
      <w:r w:rsidR="003469C3" w:rsidRPr="007E0DDE">
        <w:rPr>
          <w:rFonts w:eastAsia="Times New Roman"/>
          <w:i/>
          <w:iCs/>
          <w:color w:val="000000"/>
        </w:rPr>
        <w:t>People v Rogers</w:t>
      </w:r>
      <w:r w:rsidR="003469C3" w:rsidRPr="007E0DDE">
        <w:rPr>
          <w:rFonts w:eastAsia="Times New Roman"/>
          <w:color w:val="000000"/>
        </w:rPr>
        <w:t>, 8 AD3d 888, 891</w:t>
      </w:r>
      <w:r w:rsidR="00C84F37" w:rsidRPr="007E0DDE">
        <w:rPr>
          <w:rFonts w:eastAsia="Times New Roman"/>
          <w:color w:val="000000"/>
        </w:rPr>
        <w:t>-892</w:t>
      </w:r>
      <w:r w:rsidR="003469C3" w:rsidRPr="007E0DDE">
        <w:rPr>
          <w:rFonts w:eastAsia="Times New Roman"/>
          <w:color w:val="000000"/>
        </w:rPr>
        <w:t xml:space="preserve"> [3d Dept 2004]</w:t>
      </w:r>
      <w:r w:rsidR="00AF2AC1" w:rsidRPr="007E0DDE">
        <w:rPr>
          <w:rFonts w:eastAsia="Times New Roman"/>
          <w:color w:val="000000"/>
        </w:rPr>
        <w:t xml:space="preserve"> [</w:t>
      </w:r>
      <w:r w:rsidR="00C3520E" w:rsidRPr="007E0DDE">
        <w:rPr>
          <w:rFonts w:eastAsia="Times New Roman"/>
          <w:color w:val="000000"/>
        </w:rPr>
        <w:t>i</w:t>
      </w:r>
      <w:r w:rsidR="00B53AAA" w:rsidRPr="007E0DDE">
        <w:rPr>
          <w:rFonts w:eastAsia="Times New Roman"/>
          <w:color w:val="000000"/>
        </w:rPr>
        <w:t>n a rape</w:t>
      </w:r>
      <w:r w:rsidR="00C601E9" w:rsidRPr="007E0DDE">
        <w:rPr>
          <w:rFonts w:eastAsia="Times New Roman"/>
          <w:color w:val="000000"/>
        </w:rPr>
        <w:t xml:space="preserve"> prosecution, a report of the victim’s blood alcohol content </w:t>
      </w:r>
      <w:r w:rsidR="00C3520E" w:rsidRPr="007E0DDE">
        <w:rPr>
          <w:rFonts w:eastAsia="Times New Roman"/>
          <w:color w:val="000000"/>
        </w:rPr>
        <w:t xml:space="preserve">was improperly admitted </w:t>
      </w:r>
      <w:r w:rsidR="007854B3" w:rsidRPr="007E0DDE">
        <w:rPr>
          <w:rFonts w:eastAsia="Times New Roman"/>
          <w:color w:val="000000"/>
        </w:rPr>
        <w:t xml:space="preserve">because “the test was initiated by the prosecution and generated by the desire to discover evidence against defendant, the results were testimonial </w:t>
      </w:r>
      <w:r w:rsidR="00207E3B" w:rsidRPr="007E0DDE">
        <w:rPr>
          <w:rFonts w:eastAsia="Times New Roman"/>
          <w:color w:val="000000"/>
        </w:rPr>
        <w:t>(</w:t>
      </w:r>
      <w:r w:rsidR="00C53226" w:rsidRPr="007E0DDE">
        <w:rPr>
          <w:rFonts w:eastAsia="Times New Roman"/>
          <w:color w:val="000000"/>
        </w:rPr>
        <w:t>and admission</w:t>
      </w:r>
      <w:r w:rsidR="00207E3B" w:rsidRPr="007E0DDE">
        <w:rPr>
          <w:rFonts w:eastAsia="Times New Roman"/>
          <w:color w:val="000000"/>
        </w:rPr>
        <w:t>)</w:t>
      </w:r>
      <w:r w:rsidR="00C53226" w:rsidRPr="007E0DDE">
        <w:rPr>
          <w:rFonts w:eastAsia="Times New Roman"/>
          <w:color w:val="000000"/>
        </w:rPr>
        <w:t xml:space="preserve"> of the blood test results without the ability to cross-examine the report</w:t>
      </w:r>
      <w:r w:rsidR="0034567F">
        <w:rPr>
          <w:rFonts w:eastAsia="Times New Roman"/>
          <w:color w:val="000000"/>
        </w:rPr>
        <w:t>’</w:t>
      </w:r>
      <w:r w:rsidR="00C53226" w:rsidRPr="007E0DDE">
        <w:rPr>
          <w:rFonts w:eastAsia="Times New Roman"/>
          <w:color w:val="000000"/>
        </w:rPr>
        <w:t>s preparer was a violation of defendant</w:t>
      </w:r>
      <w:r w:rsidR="0034567F">
        <w:rPr>
          <w:rFonts w:eastAsia="Times New Roman"/>
          <w:color w:val="000000"/>
        </w:rPr>
        <w:t>’</w:t>
      </w:r>
      <w:r w:rsidR="00C53226" w:rsidRPr="007E0DDE">
        <w:rPr>
          <w:rFonts w:eastAsia="Times New Roman"/>
          <w:color w:val="000000"/>
        </w:rPr>
        <w:t>s rights under the 6th Amendment</w:t>
      </w:r>
      <w:r w:rsidR="0034567F">
        <w:rPr>
          <w:rFonts w:eastAsia="Times New Roman"/>
          <w:color w:val="000000"/>
        </w:rPr>
        <w:t>’</w:t>
      </w:r>
      <w:r w:rsidR="00C53226" w:rsidRPr="007E0DDE">
        <w:rPr>
          <w:rFonts w:eastAsia="Times New Roman"/>
          <w:color w:val="000000"/>
        </w:rPr>
        <w:t>s Confrontation Clause”</w:t>
      </w:r>
      <w:r w:rsidR="006D29FE" w:rsidRPr="007E0DDE">
        <w:rPr>
          <w:rFonts w:eastAsia="Times New Roman"/>
          <w:color w:val="000000"/>
        </w:rPr>
        <w:t>]</w:t>
      </w:r>
      <w:r w:rsidR="00C84F37" w:rsidRPr="007E0DDE">
        <w:rPr>
          <w:rFonts w:eastAsia="Times New Roman"/>
          <w:color w:val="000000"/>
        </w:rPr>
        <w:t>.</w:t>
      </w:r>
      <w:r w:rsidR="006D29FE" w:rsidRPr="007E0DDE">
        <w:rPr>
          <w:rFonts w:eastAsia="Times New Roman"/>
          <w:color w:val="000000"/>
        </w:rPr>
        <w:t>)</w:t>
      </w:r>
    </w:p>
    <w:p w14:paraId="11B7DF78" w14:textId="1C7B9407" w:rsidR="007854B3" w:rsidRPr="007E0DDE" w:rsidRDefault="007854B3" w:rsidP="007E0DDE">
      <w:pPr>
        <w:shd w:val="clear" w:color="auto" w:fill="FFFFFF"/>
        <w:spacing w:before="0"/>
        <w:jc w:val="both"/>
        <w:rPr>
          <w:rFonts w:eastAsia="Times New Roman"/>
          <w:color w:val="000000"/>
        </w:rPr>
      </w:pPr>
    </w:p>
    <w:p w14:paraId="44CED4F2" w14:textId="3C7E77D1" w:rsidR="00133DB7" w:rsidRPr="007E0DDE" w:rsidRDefault="001A5DD0" w:rsidP="007E0DDE">
      <w:pPr>
        <w:shd w:val="clear" w:color="auto" w:fill="FFFFFF"/>
        <w:spacing w:before="0"/>
        <w:jc w:val="both"/>
        <w:rPr>
          <w:rFonts w:eastAsia="Times New Roman"/>
          <w:color w:val="000000"/>
        </w:rPr>
      </w:pPr>
      <w:r w:rsidRPr="007E0DDE">
        <w:rPr>
          <w:rFonts w:eastAsia="Times New Roman"/>
          <w:color w:val="000000"/>
        </w:rPr>
        <w:tab/>
      </w:r>
      <w:r w:rsidRPr="007E0DDE">
        <w:rPr>
          <w:rFonts w:eastAsia="Times New Roman"/>
          <w:b/>
          <w:bCs/>
          <w:color w:val="000000"/>
        </w:rPr>
        <w:t>Subdivision (1)</w:t>
      </w:r>
      <w:r w:rsidR="00775AE3" w:rsidRPr="007E0DDE">
        <w:rPr>
          <w:rFonts w:eastAsia="Times New Roman"/>
          <w:b/>
          <w:bCs/>
          <w:color w:val="000000"/>
        </w:rPr>
        <w:t xml:space="preserve"> </w:t>
      </w:r>
      <w:r w:rsidRPr="007E0DDE">
        <w:rPr>
          <w:rFonts w:eastAsia="Times New Roman"/>
          <w:b/>
          <w:bCs/>
          <w:color w:val="000000"/>
        </w:rPr>
        <w:t>(</w:t>
      </w:r>
      <w:r w:rsidR="009423E4" w:rsidRPr="007E0DDE">
        <w:rPr>
          <w:rFonts w:eastAsia="Times New Roman"/>
          <w:b/>
          <w:bCs/>
          <w:color w:val="000000"/>
        </w:rPr>
        <w:t>c</w:t>
      </w:r>
      <w:r w:rsidRPr="007E0DDE">
        <w:rPr>
          <w:rFonts w:eastAsia="Times New Roman"/>
          <w:b/>
          <w:bCs/>
          <w:color w:val="000000"/>
        </w:rPr>
        <w:t>)</w:t>
      </w:r>
      <w:r w:rsidRPr="007E0DDE">
        <w:rPr>
          <w:rFonts w:eastAsia="Times New Roman"/>
          <w:color w:val="000000"/>
        </w:rPr>
        <w:t xml:space="preserve"> </w:t>
      </w:r>
      <w:r w:rsidR="00E86CEE" w:rsidRPr="007E0DDE">
        <w:rPr>
          <w:rFonts w:eastAsia="Times New Roman"/>
          <w:color w:val="000000"/>
        </w:rPr>
        <w:t xml:space="preserve">is derived from a long line of Court of Appeals </w:t>
      </w:r>
      <w:r w:rsidR="00DD2925" w:rsidRPr="007E0DDE">
        <w:rPr>
          <w:rFonts w:eastAsia="Times New Roman"/>
          <w:color w:val="000000"/>
        </w:rPr>
        <w:t>decisions recognizing the admissi</w:t>
      </w:r>
      <w:r w:rsidR="009C47FA" w:rsidRPr="007E0DDE">
        <w:rPr>
          <w:rFonts w:eastAsia="Times New Roman"/>
          <w:color w:val="000000"/>
        </w:rPr>
        <w:t>bility</w:t>
      </w:r>
      <w:r w:rsidR="00DD2925" w:rsidRPr="007E0DDE">
        <w:rPr>
          <w:rFonts w:eastAsia="Times New Roman"/>
          <w:color w:val="000000"/>
        </w:rPr>
        <w:t xml:space="preserve"> of such evidence, as well as </w:t>
      </w:r>
      <w:r w:rsidR="008E1824" w:rsidRPr="007E0DDE">
        <w:rPr>
          <w:rFonts w:eastAsia="Times New Roman"/>
          <w:color w:val="000000"/>
        </w:rPr>
        <w:t xml:space="preserve">statutory law </w:t>
      </w:r>
      <w:r w:rsidR="000223A0" w:rsidRPr="007E0DDE">
        <w:rPr>
          <w:rFonts w:eastAsia="Times New Roman"/>
          <w:color w:val="000000"/>
        </w:rPr>
        <w:t>recognition via the required taking of fingerprints</w:t>
      </w:r>
      <w:r w:rsidR="005112F2" w:rsidRPr="007E0DDE">
        <w:rPr>
          <w:rFonts w:eastAsia="Times New Roman"/>
          <w:color w:val="000000"/>
        </w:rPr>
        <w:t xml:space="preserve"> and palmprints</w:t>
      </w:r>
      <w:r w:rsidR="000223A0" w:rsidRPr="007E0DDE">
        <w:rPr>
          <w:rFonts w:eastAsia="Times New Roman"/>
          <w:color w:val="000000"/>
        </w:rPr>
        <w:t xml:space="preserve"> of those arrested for a</w:t>
      </w:r>
      <w:r w:rsidR="005C6DC6" w:rsidRPr="007E0DDE">
        <w:rPr>
          <w:rFonts w:eastAsia="Times New Roman"/>
          <w:color w:val="000000"/>
        </w:rPr>
        <w:t xml:space="preserve"> crime. </w:t>
      </w:r>
      <w:r w:rsidR="00533D8A" w:rsidRPr="007E0DDE">
        <w:rPr>
          <w:rFonts w:eastAsia="Times New Roman"/>
          <w:color w:val="000000"/>
        </w:rPr>
        <w:t>(</w:t>
      </w:r>
      <w:r w:rsidR="005C6DC6" w:rsidRPr="007E0DDE">
        <w:rPr>
          <w:rFonts w:eastAsia="Times New Roman"/>
          <w:color w:val="000000"/>
        </w:rPr>
        <w:t>CPL 160.</w:t>
      </w:r>
      <w:r w:rsidR="00B425C8" w:rsidRPr="007E0DDE">
        <w:rPr>
          <w:rFonts w:eastAsia="Times New Roman"/>
          <w:color w:val="000000"/>
        </w:rPr>
        <w:t>10</w:t>
      </w:r>
      <w:r w:rsidR="00F75220" w:rsidRPr="007E0DDE">
        <w:rPr>
          <w:rFonts w:eastAsia="Times New Roman"/>
          <w:color w:val="000000"/>
        </w:rPr>
        <w:t>;</w:t>
      </w:r>
      <w:r w:rsidR="00211A89" w:rsidRPr="007E0DDE">
        <w:rPr>
          <w:rFonts w:eastAsia="Times New Roman"/>
          <w:color w:val="000000"/>
        </w:rPr>
        <w:t xml:space="preserve"> </w:t>
      </w:r>
      <w:r w:rsidR="00F75220" w:rsidRPr="007E0DDE">
        <w:rPr>
          <w:rFonts w:eastAsia="Times New Roman"/>
          <w:i/>
          <w:iCs/>
          <w:color w:val="000000"/>
        </w:rPr>
        <w:t>s</w:t>
      </w:r>
      <w:r w:rsidR="00B425C8" w:rsidRPr="007E0DDE">
        <w:rPr>
          <w:rFonts w:eastAsia="Times New Roman"/>
          <w:i/>
          <w:iCs/>
          <w:color w:val="000000"/>
        </w:rPr>
        <w:t>ee</w:t>
      </w:r>
      <w:r w:rsidR="004D46AC" w:rsidRPr="007E0DDE">
        <w:rPr>
          <w:rFonts w:eastAsia="Times New Roman"/>
          <w:i/>
          <w:iCs/>
          <w:color w:val="000000"/>
        </w:rPr>
        <w:t xml:space="preserve"> </w:t>
      </w:r>
      <w:r w:rsidR="00163BEF" w:rsidRPr="007E0DDE">
        <w:rPr>
          <w:rFonts w:eastAsia="Times New Roman"/>
          <w:i/>
          <w:iCs/>
          <w:color w:val="000000"/>
        </w:rPr>
        <w:t>People v Gates</w:t>
      </w:r>
      <w:r w:rsidR="00163BEF" w:rsidRPr="007E0DDE">
        <w:rPr>
          <w:rFonts w:eastAsia="Times New Roman"/>
          <w:color w:val="000000"/>
        </w:rPr>
        <w:t>, 24 NY2d 666, 669 [1969]</w:t>
      </w:r>
      <w:r w:rsidR="004C69F7" w:rsidRPr="007E0DDE">
        <w:rPr>
          <w:rFonts w:eastAsia="Times New Roman"/>
          <w:color w:val="000000"/>
        </w:rPr>
        <w:t xml:space="preserve"> [</w:t>
      </w:r>
      <w:r w:rsidR="0034567F">
        <w:rPr>
          <w:rFonts w:eastAsia="Times New Roman"/>
          <w:color w:val="000000"/>
        </w:rPr>
        <w:t>“</w:t>
      </w:r>
      <w:r w:rsidR="00163BEF" w:rsidRPr="007E0DDE">
        <w:rPr>
          <w:rFonts w:eastAsia="Times New Roman"/>
          <w:color w:val="000000"/>
        </w:rPr>
        <w:t>there can be no doubting the almost conclusive force of the fingerprint evidence</w:t>
      </w:r>
      <w:r w:rsidR="0034567F">
        <w:rPr>
          <w:rFonts w:eastAsia="Times New Roman"/>
          <w:color w:val="000000"/>
        </w:rPr>
        <w:t>”</w:t>
      </w:r>
      <w:r w:rsidR="004C69F7" w:rsidRPr="007E0DDE">
        <w:rPr>
          <w:rFonts w:eastAsia="Times New Roman"/>
          <w:color w:val="000000"/>
        </w:rPr>
        <w:t>]</w:t>
      </w:r>
      <w:r w:rsidR="00211A89" w:rsidRPr="007E0DDE">
        <w:rPr>
          <w:rFonts w:eastAsia="Times New Roman"/>
          <w:color w:val="000000"/>
        </w:rPr>
        <w:t xml:space="preserve">; </w:t>
      </w:r>
      <w:r w:rsidR="00211A89" w:rsidRPr="007E0DDE">
        <w:rPr>
          <w:rFonts w:eastAsia="Times New Roman"/>
          <w:i/>
          <w:iCs/>
          <w:color w:val="000000"/>
        </w:rPr>
        <w:t>but</w:t>
      </w:r>
      <w:r w:rsidR="00211A89" w:rsidRPr="007E0DDE">
        <w:rPr>
          <w:rFonts w:eastAsia="Times New Roman"/>
          <w:color w:val="000000"/>
        </w:rPr>
        <w:t xml:space="preserve"> </w:t>
      </w:r>
      <w:r w:rsidR="00C266CF" w:rsidRPr="007E0DDE">
        <w:rPr>
          <w:rFonts w:eastAsia="Times New Roman"/>
          <w:i/>
          <w:iCs/>
          <w:color w:val="000000"/>
        </w:rPr>
        <w:t>see</w:t>
      </w:r>
      <w:r w:rsidR="00C266CF" w:rsidRPr="007E0DDE">
        <w:rPr>
          <w:rFonts w:eastAsia="Times New Roman"/>
          <w:color w:val="000000"/>
        </w:rPr>
        <w:t xml:space="preserve"> </w:t>
      </w:r>
      <w:r w:rsidR="00133DB7" w:rsidRPr="007E0DDE">
        <w:rPr>
          <w:rFonts w:eastAsia="Times New Roman"/>
          <w:i/>
          <w:iCs/>
          <w:color w:val="000000"/>
        </w:rPr>
        <w:t>People v Rawlins</w:t>
      </w:r>
      <w:r w:rsidR="00133DB7" w:rsidRPr="007E0DDE">
        <w:rPr>
          <w:rFonts w:eastAsia="Times New Roman"/>
          <w:color w:val="000000"/>
        </w:rPr>
        <w:t>, 10 NY3d 136, 157 [2008] [“fingerprint reports at issue were clearly testimonial because . . . a police detective</w:t>
      </w:r>
      <w:r w:rsidR="001349FA" w:rsidRPr="007E0DDE">
        <w:rPr>
          <w:rFonts w:eastAsia="Times New Roman"/>
          <w:color w:val="000000"/>
        </w:rPr>
        <w:t xml:space="preserve"> </w:t>
      </w:r>
      <w:r w:rsidR="004731B2" w:rsidRPr="007E0DDE">
        <w:rPr>
          <w:rFonts w:eastAsia="Times New Roman"/>
          <w:color w:val="000000"/>
        </w:rPr>
        <w:t>(</w:t>
      </w:r>
      <w:r w:rsidR="001349FA" w:rsidRPr="007E0DDE">
        <w:rPr>
          <w:rFonts w:eastAsia="Times New Roman"/>
          <w:color w:val="000000"/>
        </w:rPr>
        <w:t>prepared the</w:t>
      </w:r>
      <w:r w:rsidR="004731B2" w:rsidRPr="007E0DDE">
        <w:rPr>
          <w:rFonts w:eastAsia="Times New Roman"/>
          <w:color w:val="000000"/>
        </w:rPr>
        <w:t>)</w:t>
      </w:r>
      <w:r w:rsidR="00133DB7" w:rsidRPr="007E0DDE">
        <w:rPr>
          <w:rFonts w:eastAsia="Times New Roman"/>
          <w:color w:val="000000"/>
        </w:rPr>
        <w:t xml:space="preserve"> reports solely for prosecutorial purposes and, most importantly, because they were accusatory and offered to establish defendant</w:t>
      </w:r>
      <w:r w:rsidR="0034567F">
        <w:rPr>
          <w:rFonts w:eastAsia="Times New Roman"/>
          <w:color w:val="000000"/>
        </w:rPr>
        <w:t>’</w:t>
      </w:r>
      <w:r w:rsidR="00133DB7" w:rsidRPr="007E0DDE">
        <w:rPr>
          <w:rFonts w:eastAsia="Times New Roman"/>
          <w:color w:val="000000"/>
        </w:rPr>
        <w:t>s identity</w:t>
      </w:r>
      <w:r w:rsidR="00C76214" w:rsidRPr="007E0DDE">
        <w:rPr>
          <w:rFonts w:eastAsia="Times New Roman"/>
          <w:color w:val="000000"/>
        </w:rPr>
        <w:t>”</w:t>
      </w:r>
      <w:r w:rsidR="00F07354" w:rsidRPr="007E0DDE">
        <w:rPr>
          <w:rFonts w:eastAsia="Times New Roman"/>
          <w:color w:val="000000"/>
        </w:rPr>
        <w:t xml:space="preserve"> and were thus inadmissible </w:t>
      </w:r>
      <w:r w:rsidR="00201EEB" w:rsidRPr="007E0DDE">
        <w:rPr>
          <w:rFonts w:eastAsia="Times New Roman"/>
          <w:color w:val="000000"/>
        </w:rPr>
        <w:t>given that the detective was not a witness subject to cross-examination</w:t>
      </w:r>
      <w:r w:rsidR="00C266CF" w:rsidRPr="007E0DDE">
        <w:rPr>
          <w:rFonts w:eastAsia="Times New Roman"/>
          <w:color w:val="000000"/>
        </w:rPr>
        <w:t>].</w:t>
      </w:r>
      <w:r w:rsidR="00533D8A" w:rsidRPr="007E0DDE">
        <w:rPr>
          <w:rFonts w:eastAsia="Times New Roman"/>
          <w:color w:val="000000"/>
        </w:rPr>
        <w:t>)</w:t>
      </w:r>
    </w:p>
    <w:p w14:paraId="6C4026FE" w14:textId="2914B348" w:rsidR="00E6449E" w:rsidRPr="007E0DDE" w:rsidRDefault="00E6449E" w:rsidP="0033312E">
      <w:pPr>
        <w:autoSpaceDE w:val="0"/>
        <w:autoSpaceDN w:val="0"/>
        <w:adjustRightInd w:val="0"/>
        <w:snapToGrid w:val="0"/>
        <w:spacing w:before="0"/>
        <w:jc w:val="both"/>
        <w:rPr>
          <w:rFonts w:eastAsia="Times New Roman"/>
          <w:color w:val="000000"/>
        </w:rPr>
      </w:pPr>
    </w:p>
    <w:p w14:paraId="20E6935C" w14:textId="25B13294" w:rsidR="00F90526" w:rsidRPr="007E0DDE" w:rsidRDefault="0033312E" w:rsidP="0033312E">
      <w:pPr>
        <w:tabs>
          <w:tab w:val="left" w:pos="720"/>
        </w:tabs>
        <w:autoSpaceDE w:val="0"/>
        <w:autoSpaceDN w:val="0"/>
        <w:adjustRightInd w:val="0"/>
        <w:snapToGrid w:val="0"/>
        <w:spacing w:before="0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ab/>
      </w:r>
      <w:r w:rsidR="007C0ABF" w:rsidRPr="007E0DDE">
        <w:rPr>
          <w:rFonts w:eastAsia="Times New Roman"/>
          <w:b/>
          <w:bCs/>
          <w:color w:val="000000"/>
        </w:rPr>
        <w:t>Subdivision (1)</w:t>
      </w:r>
      <w:r w:rsidR="00775AE3" w:rsidRPr="007E0DDE">
        <w:rPr>
          <w:rFonts w:eastAsia="Times New Roman"/>
          <w:b/>
          <w:bCs/>
          <w:color w:val="000000"/>
        </w:rPr>
        <w:t xml:space="preserve"> </w:t>
      </w:r>
      <w:r w:rsidR="007C0ABF" w:rsidRPr="007E0DDE">
        <w:rPr>
          <w:rFonts w:eastAsia="Times New Roman"/>
          <w:b/>
          <w:bCs/>
          <w:color w:val="000000"/>
        </w:rPr>
        <w:t>(</w:t>
      </w:r>
      <w:r w:rsidR="009423E4" w:rsidRPr="007E0DDE">
        <w:rPr>
          <w:rFonts w:eastAsia="Times New Roman"/>
          <w:b/>
          <w:bCs/>
          <w:color w:val="000000"/>
        </w:rPr>
        <w:t>d</w:t>
      </w:r>
      <w:r w:rsidR="007C0ABF" w:rsidRPr="007E0DDE">
        <w:rPr>
          <w:rFonts w:eastAsia="Times New Roman"/>
          <w:color w:val="000000"/>
        </w:rPr>
        <w:t xml:space="preserve">) </w:t>
      </w:r>
      <w:r w:rsidR="00442242" w:rsidRPr="007E0DDE">
        <w:rPr>
          <w:rFonts w:eastAsia="Times New Roman"/>
          <w:color w:val="000000"/>
        </w:rPr>
        <w:t>incorporates</w:t>
      </w:r>
      <w:r w:rsidR="004037C2" w:rsidRPr="007E0DDE">
        <w:rPr>
          <w:rFonts w:eastAsia="Times New Roman"/>
          <w:color w:val="000000"/>
        </w:rPr>
        <w:t xml:space="preserve"> CPLR 4532-a </w:t>
      </w:r>
      <w:r w:rsidR="003643C0" w:rsidRPr="007E0DDE">
        <w:rPr>
          <w:rFonts w:eastAsia="Times New Roman"/>
        </w:rPr>
        <w:t>(</w:t>
      </w:r>
      <w:r w:rsidR="00252F64" w:rsidRPr="007E0DDE">
        <w:rPr>
          <w:rFonts w:eastAsia="Times New Roman"/>
        </w:rPr>
        <w:t>“</w:t>
      </w:r>
      <w:r w:rsidR="00FD5153" w:rsidRPr="007E0DDE">
        <w:rPr>
          <w:rFonts w:eastAsia="Times New Roman"/>
          <w:color w:val="000000"/>
        </w:rPr>
        <w:t>Admissibility of graphic, numerical, symbolic or pictorial representations of medical or diagnostic tests</w:t>
      </w:r>
      <w:r w:rsidR="00B425C8" w:rsidRPr="007E0DDE">
        <w:rPr>
          <w:rFonts w:eastAsia="Times New Roman"/>
          <w:color w:val="000000"/>
        </w:rPr>
        <w:t>”</w:t>
      </w:r>
      <w:r w:rsidR="00252F64" w:rsidRPr="007E0DDE">
        <w:rPr>
          <w:rFonts w:eastAsia="Times New Roman"/>
          <w:color w:val="000000"/>
        </w:rPr>
        <w:t xml:space="preserve">) </w:t>
      </w:r>
      <w:r w:rsidR="00B425C8" w:rsidRPr="007E0DDE">
        <w:rPr>
          <w:rFonts w:eastAsia="Times New Roman"/>
          <w:color w:val="000000"/>
        </w:rPr>
        <w:t xml:space="preserve">as </w:t>
      </w:r>
      <w:r w:rsidR="00DA5B12" w:rsidRPr="007E0DDE">
        <w:rPr>
          <w:rFonts w:eastAsia="Times New Roman"/>
          <w:color w:val="000000"/>
        </w:rPr>
        <w:t>set forth in Guide to N</w:t>
      </w:r>
      <w:r w:rsidR="004731B2" w:rsidRPr="007E0DDE">
        <w:rPr>
          <w:rFonts w:eastAsia="Times New Roman"/>
          <w:color w:val="000000"/>
        </w:rPr>
        <w:t xml:space="preserve">ew </w:t>
      </w:r>
      <w:r w:rsidR="00DA5B12" w:rsidRPr="007E0DDE">
        <w:rPr>
          <w:rFonts w:eastAsia="Times New Roman"/>
          <w:color w:val="000000"/>
        </w:rPr>
        <w:t>Y</w:t>
      </w:r>
      <w:r w:rsidR="004731B2" w:rsidRPr="007E0DDE">
        <w:rPr>
          <w:rFonts w:eastAsia="Times New Roman"/>
          <w:color w:val="000000"/>
        </w:rPr>
        <w:t>ork</w:t>
      </w:r>
      <w:r w:rsidR="00DA5B12" w:rsidRPr="007E0DDE">
        <w:rPr>
          <w:rFonts w:eastAsia="Times New Roman"/>
          <w:color w:val="000000"/>
        </w:rPr>
        <w:t xml:space="preserve"> Evidence rule </w:t>
      </w:r>
      <w:r w:rsidR="009A6970" w:rsidRPr="007E0DDE">
        <w:rPr>
          <w:rFonts w:eastAsia="Times New Roman"/>
          <w:color w:val="000000"/>
        </w:rPr>
        <w:t>9.09.</w:t>
      </w:r>
    </w:p>
    <w:p w14:paraId="476ED929" w14:textId="77777777" w:rsidR="0023411D" w:rsidRPr="007E0DDE" w:rsidRDefault="0023411D" w:rsidP="0033312E">
      <w:pPr>
        <w:autoSpaceDE w:val="0"/>
        <w:autoSpaceDN w:val="0"/>
        <w:adjustRightInd w:val="0"/>
        <w:snapToGrid w:val="0"/>
        <w:spacing w:before="0"/>
        <w:jc w:val="both"/>
        <w:rPr>
          <w:rFonts w:eastAsia="Times New Roman"/>
          <w:color w:val="000000"/>
        </w:rPr>
      </w:pPr>
    </w:p>
    <w:p w14:paraId="793CBB67" w14:textId="686B75F1" w:rsidR="00BD0139" w:rsidRPr="007E0DDE" w:rsidRDefault="008934E1" w:rsidP="007E0DDE">
      <w:pPr>
        <w:autoSpaceDE w:val="0"/>
        <w:autoSpaceDN w:val="0"/>
        <w:adjustRightInd w:val="0"/>
        <w:snapToGrid w:val="0"/>
        <w:spacing w:before="0"/>
        <w:jc w:val="both"/>
        <w:rPr>
          <w:rFonts w:eastAsia="Times New Roman"/>
          <w:lang w:val="x-none"/>
        </w:rPr>
      </w:pPr>
      <w:r w:rsidRPr="007E0DDE">
        <w:rPr>
          <w:rFonts w:eastAsia="Times New Roman"/>
        </w:rPr>
        <w:tab/>
      </w:r>
      <w:r w:rsidR="0023411D" w:rsidRPr="007E0DDE">
        <w:rPr>
          <w:rFonts w:eastAsia="Times New Roman"/>
          <w:b/>
          <w:bCs/>
        </w:rPr>
        <w:t>Subdivision</w:t>
      </w:r>
      <w:r w:rsidR="004731B2" w:rsidRPr="007E0DDE">
        <w:rPr>
          <w:rFonts w:eastAsia="Times New Roman"/>
          <w:b/>
          <w:bCs/>
        </w:rPr>
        <w:t xml:space="preserve"> </w:t>
      </w:r>
      <w:r w:rsidR="0023411D" w:rsidRPr="007E0DDE">
        <w:rPr>
          <w:rFonts w:eastAsia="Times New Roman"/>
          <w:b/>
          <w:bCs/>
        </w:rPr>
        <w:t>(1)</w:t>
      </w:r>
      <w:r w:rsidR="00775AE3" w:rsidRPr="007E0DDE">
        <w:rPr>
          <w:rFonts w:eastAsia="Times New Roman"/>
          <w:b/>
          <w:bCs/>
        </w:rPr>
        <w:t xml:space="preserve"> </w:t>
      </w:r>
      <w:r w:rsidR="0023411D" w:rsidRPr="007E0DDE">
        <w:rPr>
          <w:rFonts w:eastAsia="Times New Roman"/>
          <w:b/>
          <w:bCs/>
        </w:rPr>
        <w:t>(e)</w:t>
      </w:r>
      <w:r w:rsidR="0023411D" w:rsidRPr="007E0DDE">
        <w:rPr>
          <w:rFonts w:eastAsia="Times New Roman"/>
        </w:rPr>
        <w:t xml:space="preserve"> is derived from </w:t>
      </w:r>
      <w:r w:rsidR="0023411D" w:rsidRPr="007E0DDE">
        <w:rPr>
          <w:rFonts w:eastAsia="Times New Roman"/>
          <w:i/>
          <w:lang w:val="x-none"/>
        </w:rPr>
        <w:t xml:space="preserve">People v Bay </w:t>
      </w:r>
      <w:r w:rsidR="003E2ACE" w:rsidRPr="007E0DDE">
        <w:rPr>
          <w:rFonts w:eastAsia="Times New Roman"/>
          <w:iCs/>
        </w:rPr>
        <w:t>(</w:t>
      </w:r>
      <w:r w:rsidR="0023411D" w:rsidRPr="007E0DDE">
        <w:rPr>
          <w:rFonts w:eastAsia="Times New Roman"/>
          <w:lang w:val="x-none"/>
        </w:rPr>
        <w:t>67 NY2d 787</w:t>
      </w:r>
      <w:r w:rsidR="00A444FC" w:rsidRPr="007E0DDE">
        <w:rPr>
          <w:rFonts w:eastAsia="Times New Roman"/>
        </w:rPr>
        <w:t>, 789</w:t>
      </w:r>
      <w:r w:rsidR="0023411D" w:rsidRPr="007E0DDE">
        <w:rPr>
          <w:rFonts w:eastAsia="Times New Roman"/>
        </w:rPr>
        <w:t xml:space="preserve"> [</w:t>
      </w:r>
      <w:r w:rsidR="0023411D" w:rsidRPr="007E0DDE">
        <w:rPr>
          <w:rFonts w:eastAsia="Times New Roman"/>
          <w:lang w:val="x-none"/>
        </w:rPr>
        <w:t>1986</w:t>
      </w:r>
      <w:r w:rsidR="0023411D" w:rsidRPr="007E0DDE">
        <w:rPr>
          <w:rFonts w:eastAsia="Times New Roman"/>
        </w:rPr>
        <w:t>]</w:t>
      </w:r>
      <w:r w:rsidR="004C4878" w:rsidRPr="007E0DDE">
        <w:rPr>
          <w:rFonts w:eastAsia="Times New Roman"/>
        </w:rPr>
        <w:t>)</w:t>
      </w:r>
      <w:r w:rsidR="008554D2" w:rsidRPr="007E0DDE">
        <w:rPr>
          <w:rFonts w:eastAsia="Times New Roman"/>
        </w:rPr>
        <w:t>,</w:t>
      </w:r>
      <w:r w:rsidR="0023411D" w:rsidRPr="007E0DDE">
        <w:rPr>
          <w:rFonts w:eastAsia="Times New Roman"/>
        </w:rPr>
        <w:t xml:space="preserve"> </w:t>
      </w:r>
      <w:r w:rsidR="00A444FC" w:rsidRPr="007E0DDE">
        <w:rPr>
          <w:rFonts w:eastAsia="Times New Roman"/>
        </w:rPr>
        <w:t>which held that the “</w:t>
      </w:r>
      <w:r w:rsidR="00BD0139" w:rsidRPr="007E0DDE">
        <w:rPr>
          <w:rFonts w:eastAsia="Times New Roman"/>
        </w:rPr>
        <w:t>receipt of the expert photometric testimony, limited to measurements of the footprints, was not an abuse of discretion</w:t>
      </w:r>
      <w:r w:rsidR="00A444FC" w:rsidRPr="007E0DDE">
        <w:rPr>
          <w:rFonts w:eastAsia="Times New Roman"/>
          <w:i/>
          <w:iCs/>
        </w:rPr>
        <w:t>.</w:t>
      </w:r>
      <w:r w:rsidR="00A444FC" w:rsidRPr="007E0DDE">
        <w:rPr>
          <w:rFonts w:eastAsia="Times New Roman"/>
        </w:rPr>
        <w:t>”</w:t>
      </w:r>
    </w:p>
    <w:p w14:paraId="620903DE" w14:textId="77777777" w:rsidR="0023411D" w:rsidRPr="007E0DDE" w:rsidRDefault="0023411D" w:rsidP="0033312E">
      <w:pPr>
        <w:autoSpaceDE w:val="0"/>
        <w:autoSpaceDN w:val="0"/>
        <w:adjustRightInd w:val="0"/>
        <w:snapToGrid w:val="0"/>
        <w:spacing w:before="0"/>
        <w:jc w:val="both"/>
        <w:rPr>
          <w:rFonts w:eastAsia="Times New Roman"/>
          <w:color w:val="000000"/>
        </w:rPr>
      </w:pPr>
    </w:p>
    <w:p w14:paraId="48B41319" w14:textId="6568B9F4" w:rsidR="00F11658" w:rsidRPr="007E0DDE" w:rsidRDefault="0033312E" w:rsidP="0033312E">
      <w:pPr>
        <w:tabs>
          <w:tab w:val="left" w:pos="720"/>
        </w:tabs>
        <w:autoSpaceDE w:val="0"/>
        <w:autoSpaceDN w:val="0"/>
        <w:adjustRightInd w:val="0"/>
        <w:snapToGrid w:val="0"/>
        <w:spacing w:before="0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ab/>
      </w:r>
      <w:r w:rsidR="008C0007" w:rsidRPr="007E0DDE">
        <w:rPr>
          <w:rFonts w:eastAsia="Times New Roman"/>
          <w:b/>
          <w:bCs/>
          <w:color w:val="000000"/>
        </w:rPr>
        <w:t>Subdivision (1)</w:t>
      </w:r>
      <w:r w:rsidR="00775AE3" w:rsidRPr="007E0DDE">
        <w:rPr>
          <w:rFonts w:eastAsia="Times New Roman"/>
          <w:b/>
          <w:bCs/>
          <w:color w:val="000000"/>
        </w:rPr>
        <w:t xml:space="preserve"> </w:t>
      </w:r>
      <w:r w:rsidR="008C0007" w:rsidRPr="007E0DDE">
        <w:rPr>
          <w:rFonts w:eastAsia="Times New Roman"/>
          <w:b/>
          <w:bCs/>
          <w:color w:val="000000"/>
        </w:rPr>
        <w:t>(</w:t>
      </w:r>
      <w:r w:rsidR="0023411D" w:rsidRPr="007E0DDE">
        <w:rPr>
          <w:rFonts w:eastAsia="Times New Roman"/>
          <w:b/>
          <w:bCs/>
          <w:color w:val="000000"/>
        </w:rPr>
        <w:t>f</w:t>
      </w:r>
      <w:r w:rsidR="008C0007" w:rsidRPr="007E0DDE">
        <w:rPr>
          <w:rFonts w:eastAsia="Times New Roman"/>
          <w:b/>
          <w:bCs/>
          <w:color w:val="000000"/>
        </w:rPr>
        <w:t>)</w:t>
      </w:r>
      <w:r w:rsidR="008C0007" w:rsidRPr="007E0DDE">
        <w:rPr>
          <w:rFonts w:eastAsia="Times New Roman"/>
          <w:color w:val="000000"/>
        </w:rPr>
        <w:t xml:space="preserve"> is derived from </w:t>
      </w:r>
      <w:r w:rsidR="008C0007" w:rsidRPr="007E0DDE">
        <w:rPr>
          <w:rFonts w:eastAsia="Times New Roman"/>
          <w:i/>
          <w:iCs/>
          <w:color w:val="000000"/>
        </w:rPr>
        <w:t>People v Magri</w:t>
      </w:r>
      <w:r w:rsidR="003643C0" w:rsidRPr="007E0DDE">
        <w:rPr>
          <w:rFonts w:eastAsia="Times New Roman"/>
          <w:color w:val="000000"/>
        </w:rPr>
        <w:t xml:space="preserve"> (</w:t>
      </w:r>
      <w:r w:rsidR="008C0007" w:rsidRPr="007E0DDE">
        <w:rPr>
          <w:rFonts w:eastAsia="Times New Roman"/>
          <w:color w:val="000000"/>
        </w:rPr>
        <w:t xml:space="preserve">3 NY2d 562, 566 [1958] [“the time has come when we may recognize the general reliability of the radar </w:t>
      </w:r>
      <w:r w:rsidR="008C0007" w:rsidRPr="007E0DDE">
        <w:rPr>
          <w:rFonts w:eastAsia="Times New Roman"/>
        </w:rPr>
        <w:t xml:space="preserve">speedmeter </w:t>
      </w:r>
      <w:r w:rsidR="007E0003" w:rsidRPr="007E0DDE">
        <w:rPr>
          <w:rFonts w:eastAsia="Times New Roman"/>
        </w:rPr>
        <w:t>(</w:t>
      </w:r>
      <w:r w:rsidR="006343BB" w:rsidRPr="007E0DDE">
        <w:rPr>
          <w:rFonts w:eastAsia="Times New Roman"/>
        </w:rPr>
        <w:t xml:space="preserve">also known as a radar speedometer) </w:t>
      </w:r>
      <w:r w:rsidR="008C0007" w:rsidRPr="007E0DDE">
        <w:rPr>
          <w:rFonts w:eastAsia="Times New Roman"/>
          <w:color w:val="000000"/>
        </w:rPr>
        <w:t>as a device for measuring the speed of a moving vehicle, and that it will no longer be necessary to require expert testimony in each case as to the nature, function or scientific principles underlying it”]</w:t>
      </w:r>
      <w:r w:rsidR="006A44EE" w:rsidRPr="007E0DDE">
        <w:rPr>
          <w:rFonts w:eastAsia="Times New Roman"/>
          <w:color w:val="000000"/>
        </w:rPr>
        <w:t>).</w:t>
      </w:r>
      <w:r w:rsidR="00263887" w:rsidRPr="007E0DDE">
        <w:rPr>
          <w:rFonts w:eastAsia="Times New Roman"/>
          <w:color w:val="000000"/>
        </w:rPr>
        <w:t xml:space="preserve"> </w:t>
      </w:r>
      <w:r w:rsidR="006A44EE" w:rsidRPr="007E0DDE">
        <w:rPr>
          <w:rFonts w:eastAsia="Times New Roman"/>
          <w:color w:val="000000"/>
        </w:rPr>
        <w:t>(</w:t>
      </w:r>
      <w:r w:rsidR="00F11658" w:rsidRPr="007E0DDE">
        <w:rPr>
          <w:rFonts w:eastAsia="Times New Roman"/>
          <w:i/>
          <w:iCs/>
          <w:color w:val="000000"/>
        </w:rPr>
        <w:t>People v Knight</w:t>
      </w:r>
      <w:r w:rsidR="00F11658" w:rsidRPr="007E0DDE">
        <w:rPr>
          <w:rFonts w:eastAsia="Times New Roman"/>
          <w:color w:val="000000"/>
        </w:rPr>
        <w:t>, 72 NY2d 481, 486 [1988]</w:t>
      </w:r>
      <w:r w:rsidR="00263887" w:rsidRPr="007E0DDE">
        <w:rPr>
          <w:rFonts w:eastAsia="Times New Roman"/>
          <w:color w:val="000000"/>
        </w:rPr>
        <w:t xml:space="preserve"> [“</w:t>
      </w:r>
      <w:r w:rsidR="00F11658" w:rsidRPr="007E0DDE">
        <w:rPr>
          <w:rFonts w:eastAsia="Times New Roman"/>
          <w:color w:val="000000"/>
        </w:rPr>
        <w:t xml:space="preserve">insofar as the underlying scientific principles of moving and stationary radar are the same, </w:t>
      </w:r>
      <w:r w:rsidR="00F11658" w:rsidRPr="007E0DDE">
        <w:rPr>
          <w:rFonts w:eastAsia="Times New Roman"/>
          <w:color w:val="000000"/>
          <w:shd w:val="clear" w:color="auto" w:fill="FFFFFF"/>
        </w:rPr>
        <w:t>evidence</w:t>
      </w:r>
      <w:r w:rsidR="00F11658" w:rsidRPr="007E0DDE">
        <w:rPr>
          <w:rFonts w:eastAsia="Times New Roman"/>
          <w:color w:val="000000"/>
        </w:rPr>
        <w:t xml:space="preserve"> derived from either should be admissible without the need for expert testimony</w:t>
      </w:r>
      <w:r w:rsidR="00CA1945" w:rsidRPr="007E0DDE">
        <w:rPr>
          <w:rFonts w:eastAsia="Times New Roman"/>
          <w:color w:val="000000"/>
        </w:rPr>
        <w:t>”]</w:t>
      </w:r>
      <w:r w:rsidR="006A44EE" w:rsidRPr="007E0DDE">
        <w:rPr>
          <w:rFonts w:eastAsia="Times New Roman"/>
          <w:color w:val="000000"/>
        </w:rPr>
        <w:t>.</w:t>
      </w:r>
      <w:r w:rsidR="003643C0" w:rsidRPr="007E0DDE">
        <w:rPr>
          <w:rFonts w:eastAsia="Times New Roman"/>
          <w:color w:val="000000"/>
        </w:rPr>
        <w:t>)</w:t>
      </w:r>
    </w:p>
    <w:p w14:paraId="2736074D" w14:textId="77777777" w:rsidR="00D86155" w:rsidRPr="007E0DDE" w:rsidRDefault="00D86155" w:rsidP="0033312E">
      <w:pPr>
        <w:autoSpaceDE w:val="0"/>
        <w:autoSpaceDN w:val="0"/>
        <w:adjustRightInd w:val="0"/>
        <w:snapToGrid w:val="0"/>
        <w:spacing w:before="0"/>
        <w:jc w:val="both"/>
        <w:rPr>
          <w:rFonts w:eastAsia="Times New Roman"/>
          <w:color w:val="000000"/>
        </w:rPr>
      </w:pPr>
    </w:p>
    <w:p w14:paraId="21BC5FE0" w14:textId="53BD2E32" w:rsidR="00EA7C2A" w:rsidRPr="007E0DDE" w:rsidRDefault="0033312E" w:rsidP="0033312E">
      <w:pPr>
        <w:tabs>
          <w:tab w:val="left" w:pos="720"/>
        </w:tabs>
        <w:autoSpaceDE w:val="0"/>
        <w:autoSpaceDN w:val="0"/>
        <w:adjustRightInd w:val="0"/>
        <w:snapToGrid w:val="0"/>
        <w:spacing w:before="0"/>
        <w:jc w:val="both"/>
        <w:rPr>
          <w:rFonts w:eastAsia="Times New Roman"/>
        </w:rPr>
      </w:pPr>
      <w:r>
        <w:rPr>
          <w:b/>
          <w:bCs/>
        </w:rPr>
        <w:tab/>
      </w:r>
      <w:r w:rsidR="00EA7C2A" w:rsidRPr="007E0DDE">
        <w:rPr>
          <w:b/>
          <w:bCs/>
        </w:rPr>
        <w:t>Subdivision (2)</w:t>
      </w:r>
      <w:r w:rsidR="00775AE3" w:rsidRPr="007E0DDE">
        <w:rPr>
          <w:b/>
          <w:bCs/>
        </w:rPr>
        <w:t xml:space="preserve"> </w:t>
      </w:r>
      <w:r w:rsidR="00EA7C2A" w:rsidRPr="007E0DDE">
        <w:rPr>
          <w:b/>
          <w:bCs/>
        </w:rPr>
        <w:t>(</w:t>
      </w:r>
      <w:r w:rsidR="00042DCC" w:rsidRPr="007E0DDE">
        <w:rPr>
          <w:b/>
          <w:bCs/>
        </w:rPr>
        <w:t>a</w:t>
      </w:r>
      <w:r w:rsidR="00EA7C2A" w:rsidRPr="007E0DDE">
        <w:rPr>
          <w:b/>
          <w:bCs/>
        </w:rPr>
        <w:t>)</w:t>
      </w:r>
      <w:r w:rsidR="00B1193E" w:rsidRPr="007E0DDE">
        <w:rPr>
          <w:b/>
          <w:bCs/>
        </w:rPr>
        <w:t xml:space="preserve"> </w:t>
      </w:r>
      <w:r w:rsidR="00B1193E" w:rsidRPr="007E0DDE">
        <w:t>on the admissibility of</w:t>
      </w:r>
      <w:r w:rsidR="00C774A2" w:rsidRPr="007E0DDE">
        <w:t xml:space="preserve"> bite mark evidence</w:t>
      </w:r>
      <w:r w:rsidR="00EA7C2A" w:rsidRPr="007E0DDE">
        <w:t xml:space="preserve"> is derived from </w:t>
      </w:r>
      <w:r w:rsidR="00EA7C2A" w:rsidRPr="007E0DDE">
        <w:rPr>
          <w:i/>
          <w:iCs/>
          <w:color w:val="000000"/>
        </w:rPr>
        <w:t>People v Middleton</w:t>
      </w:r>
      <w:r w:rsidR="00EA7C2A" w:rsidRPr="007E0DDE">
        <w:rPr>
          <w:color w:val="000000"/>
        </w:rPr>
        <w:t xml:space="preserve"> (54 NY2d 42, 45 [1981]</w:t>
      </w:r>
      <w:r w:rsidR="0010292E" w:rsidRPr="007E0DDE">
        <w:rPr>
          <w:color w:val="000000"/>
        </w:rPr>
        <w:t>)</w:t>
      </w:r>
      <w:r w:rsidR="00EA7C2A" w:rsidRPr="007E0DDE">
        <w:rPr>
          <w:color w:val="000000"/>
        </w:rPr>
        <w:t xml:space="preserve"> where the Court held: “The </w:t>
      </w:r>
      <w:r w:rsidR="00EA7C2A" w:rsidRPr="007E0DDE">
        <w:rPr>
          <w:color w:val="000000"/>
        </w:rPr>
        <w:lastRenderedPageBreak/>
        <w:t>reliability of bite mark evidence as a means of identification is sufficiently established in the scientific community to make such evidence admissible in a criminal case</w:t>
      </w:r>
      <w:r w:rsidR="0077178E" w:rsidRPr="007E0DDE">
        <w:rPr>
          <w:color w:val="000000"/>
        </w:rPr>
        <w:t>.</w:t>
      </w:r>
      <w:r w:rsidR="00EA7C2A" w:rsidRPr="007E0DDE">
        <w:rPr>
          <w:color w:val="000000"/>
        </w:rPr>
        <w:t xml:space="preserve">” </w:t>
      </w:r>
      <w:r w:rsidR="0010292E" w:rsidRPr="007E0DDE">
        <w:rPr>
          <w:color w:val="000000"/>
        </w:rPr>
        <w:t>(</w:t>
      </w:r>
      <w:r w:rsidR="0077178E" w:rsidRPr="007E0DDE">
        <w:rPr>
          <w:i/>
          <w:iCs/>
          <w:color w:val="000000"/>
        </w:rPr>
        <w:t>S</w:t>
      </w:r>
      <w:r w:rsidR="00EA7C2A" w:rsidRPr="007E0DDE">
        <w:rPr>
          <w:i/>
          <w:iCs/>
          <w:color w:val="000000"/>
        </w:rPr>
        <w:t>ee</w:t>
      </w:r>
      <w:r w:rsidR="00EA7C2A" w:rsidRPr="007E0DDE">
        <w:rPr>
          <w:color w:val="000000"/>
        </w:rPr>
        <w:t xml:space="preserve"> </w:t>
      </w:r>
      <w:r w:rsidR="00EA7C2A" w:rsidRPr="007E0DDE">
        <w:rPr>
          <w:rFonts w:eastAsia="Times New Roman"/>
          <w:i/>
          <w:iCs/>
          <w:color w:val="000000"/>
        </w:rPr>
        <w:t>People v Smith</w:t>
      </w:r>
      <w:r w:rsidR="00EA7C2A" w:rsidRPr="007E0DDE">
        <w:rPr>
          <w:rFonts w:eastAsia="Times New Roman"/>
          <w:color w:val="000000"/>
        </w:rPr>
        <w:t>, 63 NY2d 41, 64 [1984] [“no error was committed in permitting the photo-to-photo comparison” of a known bite mark of the defendant on human skin with a bite mark on the skin of the deceased</w:t>
      </w:r>
      <w:bookmarkStart w:id="5" w:name="_Hlk99659588"/>
      <w:r w:rsidR="00EA7C2A" w:rsidRPr="007E0DDE">
        <w:rPr>
          <w:rFonts w:eastAsia="Times New Roman"/>
          <w:color w:val="000000"/>
        </w:rPr>
        <w:t xml:space="preserve">].) </w:t>
      </w:r>
      <w:r w:rsidR="00F734A4" w:rsidRPr="007E0DDE">
        <w:rPr>
          <w:rFonts w:eastAsia="Times New Roman"/>
        </w:rPr>
        <w:t>In 2020, however, n</w:t>
      </w:r>
      <w:r w:rsidR="00EA7C2A" w:rsidRPr="007E0DDE">
        <w:rPr>
          <w:rFonts w:eastAsia="Times New Roman"/>
        </w:rPr>
        <w:t xml:space="preserve">otwithstanding </w:t>
      </w:r>
      <w:r w:rsidR="00EA7C2A" w:rsidRPr="007E0DDE">
        <w:rPr>
          <w:rFonts w:eastAsia="Times New Roman"/>
          <w:i/>
          <w:iCs/>
        </w:rPr>
        <w:t>Middleton</w:t>
      </w:r>
      <w:r w:rsidR="00EA7C2A" w:rsidRPr="007E0DDE">
        <w:rPr>
          <w:rFonts w:eastAsia="Times New Roman"/>
        </w:rPr>
        <w:t xml:space="preserve"> and</w:t>
      </w:r>
      <w:r w:rsidR="00EA7C2A" w:rsidRPr="007E0DDE">
        <w:rPr>
          <w:rFonts w:eastAsia="Times New Roman"/>
          <w:i/>
          <w:iCs/>
        </w:rPr>
        <w:t xml:space="preserve"> Smith</w:t>
      </w:r>
      <w:r w:rsidR="00EA7C2A" w:rsidRPr="007E0DDE">
        <w:rPr>
          <w:rFonts w:eastAsia="Times New Roman"/>
        </w:rPr>
        <w:t xml:space="preserve">, the Court of Appeals noted that there had been “[r]ecent questioning of previously accepted techniques related to </w:t>
      </w:r>
      <w:r w:rsidR="0010292E" w:rsidRPr="007E0DDE">
        <w:rPr>
          <w:rFonts w:eastAsia="Times New Roman"/>
        </w:rPr>
        <w:t>. . .</w:t>
      </w:r>
      <w:r w:rsidR="00EA7C2A" w:rsidRPr="007E0DDE">
        <w:rPr>
          <w:rFonts w:eastAsia="Times New Roman"/>
        </w:rPr>
        <w:t xml:space="preserve"> bite mark matching.” </w:t>
      </w:r>
      <w:r w:rsidR="0010292E" w:rsidRPr="007E0DDE">
        <w:rPr>
          <w:rFonts w:eastAsia="Times New Roman"/>
        </w:rPr>
        <w:t>(</w:t>
      </w:r>
      <w:r w:rsidR="00EA7C2A" w:rsidRPr="007E0DDE">
        <w:rPr>
          <w:rFonts w:eastAsia="Times New Roman"/>
          <w:i/>
          <w:iCs/>
        </w:rPr>
        <w:t>People v Williams</w:t>
      </w:r>
      <w:r w:rsidR="00EA7C2A" w:rsidRPr="007E0DDE">
        <w:rPr>
          <w:rFonts w:eastAsia="Times New Roman"/>
        </w:rPr>
        <w:t>, 35 NY3d 24, 43 [2020].</w:t>
      </w:r>
      <w:bookmarkEnd w:id="5"/>
      <w:r w:rsidR="0010292E" w:rsidRPr="007E0DDE">
        <w:rPr>
          <w:rFonts w:eastAsia="Times New Roman"/>
        </w:rPr>
        <w:t>)</w:t>
      </w:r>
    </w:p>
    <w:p w14:paraId="165231DB" w14:textId="77777777" w:rsidR="00042DCC" w:rsidRPr="0033312E" w:rsidRDefault="00042DCC" w:rsidP="0033312E">
      <w:pPr>
        <w:autoSpaceDE w:val="0"/>
        <w:autoSpaceDN w:val="0"/>
        <w:adjustRightInd w:val="0"/>
        <w:snapToGrid w:val="0"/>
        <w:spacing w:before="0"/>
        <w:jc w:val="both"/>
        <w:rPr>
          <w:rFonts w:eastAsia="Times New Roman"/>
          <w:b/>
          <w:bCs/>
        </w:rPr>
      </w:pPr>
    </w:p>
    <w:p w14:paraId="17ADF467" w14:textId="166EAA64" w:rsidR="000D499A" w:rsidRPr="00C34909" w:rsidRDefault="0033312E" w:rsidP="0033312E">
      <w:pPr>
        <w:tabs>
          <w:tab w:val="left" w:pos="720"/>
        </w:tabs>
        <w:autoSpaceDE w:val="0"/>
        <w:autoSpaceDN w:val="0"/>
        <w:adjustRightInd w:val="0"/>
        <w:snapToGrid w:val="0"/>
        <w:spacing w:before="0"/>
        <w:jc w:val="both"/>
        <w:rPr>
          <w:rFonts w:eastAsia="Times New Roman"/>
          <w:iCs/>
        </w:rPr>
      </w:pPr>
      <w:r>
        <w:rPr>
          <w:rFonts w:eastAsia="Times New Roman"/>
          <w:b/>
          <w:bCs/>
        </w:rPr>
        <w:tab/>
      </w:r>
      <w:r w:rsidR="00513AD8" w:rsidRPr="007E0DDE">
        <w:rPr>
          <w:rFonts w:eastAsia="Times New Roman"/>
          <w:b/>
          <w:bCs/>
        </w:rPr>
        <w:t>Subdivision (</w:t>
      </w:r>
      <w:r w:rsidR="005713B0" w:rsidRPr="007E0DDE">
        <w:rPr>
          <w:rFonts w:eastAsia="Times New Roman"/>
          <w:b/>
          <w:bCs/>
        </w:rPr>
        <w:t>2</w:t>
      </w:r>
      <w:r w:rsidR="00513AD8" w:rsidRPr="007E0DDE">
        <w:rPr>
          <w:rFonts w:eastAsia="Times New Roman"/>
          <w:b/>
          <w:bCs/>
        </w:rPr>
        <w:t>)</w:t>
      </w:r>
      <w:r w:rsidR="00775AE3" w:rsidRPr="007E0DDE">
        <w:rPr>
          <w:rFonts w:eastAsia="Times New Roman"/>
          <w:b/>
          <w:bCs/>
        </w:rPr>
        <w:t xml:space="preserve"> </w:t>
      </w:r>
      <w:r w:rsidR="00513AD8" w:rsidRPr="007E0DDE">
        <w:rPr>
          <w:rFonts w:eastAsia="Times New Roman"/>
          <w:b/>
          <w:bCs/>
        </w:rPr>
        <w:t>(</w:t>
      </w:r>
      <w:r w:rsidR="00335608" w:rsidRPr="007E0DDE">
        <w:rPr>
          <w:rFonts w:eastAsia="Times New Roman"/>
          <w:b/>
          <w:bCs/>
        </w:rPr>
        <w:t>b</w:t>
      </w:r>
      <w:r w:rsidR="00513AD8" w:rsidRPr="007E0DDE">
        <w:rPr>
          <w:rFonts w:eastAsia="Times New Roman"/>
          <w:b/>
          <w:bCs/>
        </w:rPr>
        <w:t>)</w:t>
      </w:r>
      <w:r w:rsidR="00513AD8" w:rsidRPr="007E0DDE">
        <w:rPr>
          <w:rFonts w:eastAsia="Times New Roman"/>
        </w:rPr>
        <w:t xml:space="preserve"> </w:t>
      </w:r>
      <w:r w:rsidR="00513AD8" w:rsidRPr="007E0DDE">
        <w:rPr>
          <w:rFonts w:eastAsia="Times New Roman"/>
          <w:color w:val="000000"/>
        </w:rPr>
        <w:t xml:space="preserve">is derived from </w:t>
      </w:r>
      <w:r w:rsidR="00513AD8" w:rsidRPr="007E0DDE">
        <w:rPr>
          <w:rFonts w:eastAsia="Times New Roman"/>
          <w:i/>
          <w:iCs/>
          <w:color w:val="000000"/>
        </w:rPr>
        <w:t>People v Allweiss</w:t>
      </w:r>
      <w:r w:rsidR="00513AD8" w:rsidRPr="007E0DDE">
        <w:rPr>
          <w:rFonts w:eastAsia="Times New Roman"/>
          <w:color w:val="000000"/>
        </w:rPr>
        <w:t xml:space="preserve"> (48 NY2d 40, 49-50 [1979] [</w:t>
      </w:r>
      <w:bookmarkStart w:id="6" w:name="_Hlk95217624"/>
      <w:r w:rsidR="00513AD8" w:rsidRPr="007E0DDE">
        <w:rPr>
          <w:rFonts w:eastAsia="Times New Roman"/>
          <w:color w:val="000000"/>
        </w:rPr>
        <w:t xml:space="preserve">comparative hair analysis </w:t>
      </w:r>
      <w:bookmarkEnd w:id="6"/>
      <w:r w:rsidR="00513AD8" w:rsidRPr="007E0DDE">
        <w:rPr>
          <w:rFonts w:eastAsia="Times New Roman"/>
          <w:color w:val="000000"/>
        </w:rPr>
        <w:t>was properly admitted where “</w:t>
      </w:r>
      <w:r w:rsidR="005C3F4A" w:rsidRPr="007E0DDE">
        <w:rPr>
          <w:rFonts w:eastAsia="Times New Roman"/>
          <w:color w:val="000000"/>
        </w:rPr>
        <w:t>(</w:t>
      </w:r>
      <w:r w:rsidR="00513AD8" w:rsidRPr="007E0DDE">
        <w:rPr>
          <w:rFonts w:eastAsia="Times New Roman"/>
          <w:color w:val="000000"/>
        </w:rPr>
        <w:t>t</w:t>
      </w:r>
      <w:r w:rsidR="005C3F4A" w:rsidRPr="007E0DDE">
        <w:rPr>
          <w:rFonts w:eastAsia="Times New Roman"/>
          <w:color w:val="000000"/>
        </w:rPr>
        <w:t>)</w:t>
      </w:r>
      <w:r w:rsidR="00513AD8" w:rsidRPr="007E0DDE">
        <w:rPr>
          <w:rFonts w:eastAsia="Times New Roman"/>
          <w:color w:val="000000"/>
        </w:rPr>
        <w:t>he People</w:t>
      </w:r>
      <w:r w:rsidR="0034567F">
        <w:rPr>
          <w:rFonts w:eastAsia="Times New Roman"/>
          <w:color w:val="000000"/>
        </w:rPr>
        <w:t>’</w:t>
      </w:r>
      <w:r w:rsidR="00513AD8" w:rsidRPr="007E0DDE">
        <w:rPr>
          <w:rFonts w:eastAsia="Times New Roman"/>
          <w:color w:val="000000"/>
        </w:rPr>
        <w:t>s expert testified that he had microscopically compared the hair samples taken from the defendant</w:t>
      </w:r>
      <w:r w:rsidR="0034567F">
        <w:rPr>
          <w:rFonts w:eastAsia="Times New Roman"/>
          <w:color w:val="000000"/>
        </w:rPr>
        <w:t>’</w:t>
      </w:r>
      <w:r w:rsidR="00513AD8" w:rsidRPr="007E0DDE">
        <w:rPr>
          <w:rFonts w:eastAsia="Times New Roman"/>
          <w:color w:val="000000"/>
        </w:rPr>
        <w:t xml:space="preserve">s head with the hair found at the scene of the crime. He stated that the test, like fingerprint analysis, involved comparing a number of characteristics, generally 15 to 20. He conceded that the results would not be as conclusive as fingerprinting, but stated that if a sufficient number of similarities could be found, it could be determined with a reasonable degree of certainty that a hair had come from a certain individual. He said that he was able to do that in this case”]). </w:t>
      </w:r>
      <w:r w:rsidR="00B20F82" w:rsidRPr="007E0DDE">
        <w:rPr>
          <w:rFonts w:eastAsia="Times New Roman"/>
        </w:rPr>
        <w:t xml:space="preserve">In 2020, however, notwithstanding </w:t>
      </w:r>
      <w:r w:rsidR="00513AD8" w:rsidRPr="007E0DDE">
        <w:rPr>
          <w:rFonts w:eastAsia="Times New Roman"/>
          <w:i/>
          <w:iCs/>
        </w:rPr>
        <w:t>Allweiss</w:t>
      </w:r>
      <w:r w:rsidR="00513AD8" w:rsidRPr="00024B8E">
        <w:rPr>
          <w:rFonts w:eastAsia="Times New Roman"/>
        </w:rPr>
        <w:t>,</w:t>
      </w:r>
      <w:r w:rsidR="00EE0273" w:rsidRPr="007E0DDE">
        <w:rPr>
          <w:rFonts w:eastAsia="Times New Roman"/>
        </w:rPr>
        <w:t xml:space="preserve"> </w:t>
      </w:r>
      <w:r w:rsidR="00513AD8" w:rsidRPr="007E0DDE">
        <w:rPr>
          <w:rFonts w:eastAsia="Times New Roman"/>
        </w:rPr>
        <w:t>the Court of Appeals noted that there had been “[r]ecent questioning of previously accepted techniques related to hair comparison</w:t>
      </w:r>
      <w:r w:rsidR="00E76C87" w:rsidRPr="007E0DDE">
        <w:rPr>
          <w:rFonts w:eastAsia="Times New Roman"/>
        </w:rPr>
        <w:t>s</w:t>
      </w:r>
      <w:r w:rsidR="00513AD8" w:rsidRPr="007E0DDE">
        <w:rPr>
          <w:rFonts w:eastAsia="Times New Roman"/>
        </w:rPr>
        <w:t xml:space="preserve">.” </w:t>
      </w:r>
      <w:r w:rsidR="005C3F4A" w:rsidRPr="007E0DDE">
        <w:rPr>
          <w:rFonts w:eastAsia="Times New Roman"/>
        </w:rPr>
        <w:t>(</w:t>
      </w:r>
      <w:r w:rsidR="00513AD8" w:rsidRPr="007E0DDE">
        <w:rPr>
          <w:rFonts w:eastAsia="Times New Roman"/>
          <w:i/>
          <w:iCs/>
        </w:rPr>
        <w:t>People v Williams</w:t>
      </w:r>
      <w:r w:rsidR="00513AD8" w:rsidRPr="007E0DDE">
        <w:rPr>
          <w:rFonts w:eastAsia="Times New Roman"/>
        </w:rPr>
        <w:t>, 35 NY3d 24, 43 [2020].</w:t>
      </w:r>
      <w:r w:rsidR="005C3F4A" w:rsidRPr="007E0DDE">
        <w:rPr>
          <w:rFonts w:eastAsia="Times New Roman"/>
        </w:rPr>
        <w:t>)</w:t>
      </w:r>
    </w:p>
    <w:p w14:paraId="6A8351C7" w14:textId="77777777" w:rsidR="00D31665" w:rsidRPr="0033312E" w:rsidRDefault="00D31665" w:rsidP="0033312E">
      <w:pPr>
        <w:autoSpaceDE w:val="0"/>
        <w:autoSpaceDN w:val="0"/>
        <w:adjustRightInd w:val="0"/>
        <w:snapToGrid w:val="0"/>
        <w:spacing w:before="0"/>
        <w:jc w:val="both"/>
        <w:rPr>
          <w:rFonts w:eastAsia="Times New Roman"/>
          <w:iCs/>
        </w:rPr>
      </w:pPr>
    </w:p>
    <w:p w14:paraId="19622ABB" w14:textId="549EADA4" w:rsidR="00867BD5" w:rsidRPr="007E0DDE" w:rsidRDefault="0033312E" w:rsidP="0033312E">
      <w:pPr>
        <w:tabs>
          <w:tab w:val="left" w:pos="720"/>
        </w:tabs>
        <w:autoSpaceDE w:val="0"/>
        <w:autoSpaceDN w:val="0"/>
        <w:adjustRightInd w:val="0"/>
        <w:snapToGrid w:val="0"/>
        <w:spacing w:before="0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ab/>
      </w:r>
      <w:r w:rsidR="0011120B" w:rsidRPr="007E0DDE">
        <w:rPr>
          <w:rFonts w:eastAsia="Times New Roman"/>
          <w:b/>
          <w:bCs/>
          <w:color w:val="000000"/>
        </w:rPr>
        <w:t>Subdivisi</w:t>
      </w:r>
      <w:r w:rsidR="003C0042" w:rsidRPr="007E0DDE">
        <w:rPr>
          <w:rFonts w:eastAsia="Times New Roman"/>
          <w:b/>
          <w:bCs/>
          <w:color w:val="000000"/>
        </w:rPr>
        <w:t>o</w:t>
      </w:r>
      <w:r w:rsidR="0011120B" w:rsidRPr="007E0DDE">
        <w:rPr>
          <w:rFonts w:eastAsia="Times New Roman"/>
          <w:b/>
          <w:bCs/>
          <w:color w:val="000000"/>
        </w:rPr>
        <w:t xml:space="preserve">n </w:t>
      </w:r>
      <w:r w:rsidR="0011120B" w:rsidRPr="007E0DDE">
        <w:rPr>
          <w:rFonts w:eastAsia="Times New Roman"/>
          <w:b/>
          <w:bCs/>
        </w:rPr>
        <w:t>(</w:t>
      </w:r>
      <w:r w:rsidR="00EA7C2A" w:rsidRPr="007E0DDE">
        <w:rPr>
          <w:rFonts w:eastAsia="Times New Roman"/>
          <w:b/>
          <w:bCs/>
        </w:rPr>
        <w:t>3</w:t>
      </w:r>
      <w:r w:rsidR="0011120B" w:rsidRPr="007E0DDE">
        <w:rPr>
          <w:rFonts w:eastAsia="Times New Roman"/>
          <w:b/>
          <w:bCs/>
        </w:rPr>
        <w:t>)</w:t>
      </w:r>
      <w:r w:rsidR="00775AE3" w:rsidRPr="007E0DDE">
        <w:rPr>
          <w:rFonts w:eastAsia="Times New Roman"/>
          <w:b/>
          <w:bCs/>
        </w:rPr>
        <w:t xml:space="preserve"> </w:t>
      </w:r>
      <w:r w:rsidR="006E725F" w:rsidRPr="007E0DDE">
        <w:rPr>
          <w:rFonts w:eastAsia="Times New Roman"/>
          <w:b/>
          <w:bCs/>
        </w:rPr>
        <w:t>(a)</w:t>
      </w:r>
      <w:r w:rsidR="00577526" w:rsidRPr="007E0DDE">
        <w:rPr>
          <w:rFonts w:eastAsia="Times New Roman"/>
          <w:b/>
          <w:bCs/>
        </w:rPr>
        <w:t xml:space="preserve"> </w:t>
      </w:r>
      <w:r w:rsidR="00577526" w:rsidRPr="007E0DDE">
        <w:rPr>
          <w:rFonts w:eastAsia="Times New Roman"/>
          <w:color w:val="000000"/>
        </w:rPr>
        <w:t xml:space="preserve">is derived from </w:t>
      </w:r>
      <w:r w:rsidR="003643C0" w:rsidRPr="007E0DDE">
        <w:rPr>
          <w:rFonts w:eastAsia="Times New Roman"/>
          <w:color w:val="000000"/>
        </w:rPr>
        <w:t xml:space="preserve">well-established precedent, most recently </w:t>
      </w:r>
      <w:r w:rsidR="00867BD5" w:rsidRPr="007E0DDE">
        <w:rPr>
          <w:rFonts w:eastAsia="Times New Roman"/>
          <w:i/>
          <w:iCs/>
          <w:color w:val="000000"/>
        </w:rPr>
        <w:t>People v Shedrick</w:t>
      </w:r>
      <w:r w:rsidR="0064610E" w:rsidRPr="007E0DDE">
        <w:rPr>
          <w:rFonts w:eastAsia="Times New Roman"/>
          <w:color w:val="000000"/>
        </w:rPr>
        <w:t xml:space="preserve"> (</w:t>
      </w:r>
      <w:r w:rsidR="00867BD5" w:rsidRPr="007E0DDE">
        <w:rPr>
          <w:rFonts w:eastAsia="Times New Roman"/>
          <w:color w:val="000000"/>
        </w:rPr>
        <w:t>66 NY2d 1015, 1018 [1985]</w:t>
      </w:r>
      <w:r w:rsidR="0064610E" w:rsidRPr="007E0DDE">
        <w:rPr>
          <w:rFonts w:eastAsia="Times New Roman"/>
          <w:color w:val="000000"/>
        </w:rPr>
        <w:t>)</w:t>
      </w:r>
      <w:r w:rsidR="00867BD5" w:rsidRPr="007E0DDE">
        <w:rPr>
          <w:rFonts w:eastAsia="Times New Roman"/>
          <w:color w:val="000000"/>
        </w:rPr>
        <w:t>, which stated</w:t>
      </w:r>
      <w:r w:rsidR="0067128A" w:rsidRPr="007E0DDE">
        <w:rPr>
          <w:rFonts w:eastAsia="Times New Roman"/>
          <w:color w:val="000000"/>
        </w:rPr>
        <w:t xml:space="preserve"> that it was</w:t>
      </w:r>
      <w:r w:rsidR="003A5584" w:rsidRPr="007E0DDE">
        <w:rPr>
          <w:rFonts w:eastAsia="Times New Roman"/>
          <w:color w:val="000000"/>
        </w:rPr>
        <w:t xml:space="preserve"> not</w:t>
      </w:r>
      <w:r w:rsidR="0067128A" w:rsidRPr="007E0DDE">
        <w:rPr>
          <w:rFonts w:eastAsia="Times New Roman"/>
          <w:color w:val="000000"/>
        </w:rPr>
        <w:t xml:space="preserve"> “</w:t>
      </w:r>
      <w:r w:rsidR="00867BD5" w:rsidRPr="007E0DDE">
        <w:rPr>
          <w:rFonts w:eastAsia="Times New Roman"/>
          <w:color w:val="000000"/>
        </w:rPr>
        <w:t>reversible error for the court to exclude results of a polygraph examination offered by defendant to indicate his own belief in his innocence</w:t>
      </w:r>
      <w:r w:rsidR="005B323B" w:rsidRPr="007E0DDE">
        <w:rPr>
          <w:rFonts w:eastAsia="Times New Roman"/>
          <w:color w:val="000000"/>
        </w:rPr>
        <w:t xml:space="preserve">. </w:t>
      </w:r>
      <w:r w:rsidR="00867BD5" w:rsidRPr="007E0DDE">
        <w:rPr>
          <w:rFonts w:eastAsia="Times New Roman"/>
          <w:color w:val="000000"/>
        </w:rPr>
        <w:t>The reliability of the polygraph has not been demonstrated with sufficient certainty to be admissible in this State</w:t>
      </w:r>
      <w:r w:rsidR="005B323B" w:rsidRPr="007E0DDE">
        <w:rPr>
          <w:rFonts w:eastAsia="Times New Roman"/>
          <w:color w:val="000000"/>
        </w:rPr>
        <w:t xml:space="preserve">. </w:t>
      </w:r>
      <w:r w:rsidR="00867BD5" w:rsidRPr="00A03A9B">
        <w:rPr>
          <w:rFonts w:eastAsia="Times New Roman"/>
          <w:color w:val="000000"/>
        </w:rPr>
        <w:t>(</w:t>
      </w:r>
      <w:r w:rsidR="00867BD5" w:rsidRPr="007E0DDE">
        <w:rPr>
          <w:rFonts w:eastAsia="Times New Roman"/>
          <w:i/>
          <w:iCs/>
          <w:color w:val="000000"/>
        </w:rPr>
        <w:t>People v Tarsia,</w:t>
      </w:r>
      <w:r w:rsidR="00867BD5" w:rsidRPr="007E0DDE">
        <w:rPr>
          <w:rFonts w:eastAsia="Times New Roman"/>
          <w:color w:val="000000"/>
        </w:rPr>
        <w:t xml:space="preserve"> 50 NY2d 1, 7; </w:t>
      </w:r>
      <w:r w:rsidR="00867BD5" w:rsidRPr="007E0DDE">
        <w:rPr>
          <w:rFonts w:eastAsia="Times New Roman"/>
          <w:i/>
          <w:iCs/>
          <w:color w:val="000000"/>
        </w:rPr>
        <w:t>People v Leone,</w:t>
      </w:r>
      <w:r w:rsidR="00867BD5" w:rsidRPr="007E0DDE">
        <w:rPr>
          <w:rFonts w:eastAsia="Times New Roman"/>
          <w:color w:val="000000"/>
        </w:rPr>
        <w:t xml:space="preserve"> 25 NY2d 511, 517</w:t>
      </w:r>
      <w:r w:rsidR="00A03A9B">
        <w:rPr>
          <w:rFonts w:eastAsia="Times New Roman"/>
          <w:color w:val="000000"/>
        </w:rPr>
        <w:t>.</w:t>
      </w:r>
      <w:r w:rsidR="00867BD5" w:rsidRPr="007E0DDE">
        <w:rPr>
          <w:rFonts w:eastAsia="Times New Roman"/>
          <w:color w:val="000000"/>
        </w:rPr>
        <w:t>)”</w:t>
      </w:r>
      <w:r w:rsidR="00A03A9B">
        <w:rPr>
          <w:rFonts w:eastAsia="Times New Roman"/>
          <w:color w:val="000000"/>
        </w:rPr>
        <w:t xml:space="preserve"> (</w:t>
      </w:r>
      <w:r w:rsidR="00197930" w:rsidRPr="007E0DDE">
        <w:rPr>
          <w:rFonts w:eastAsia="Times New Roman"/>
          <w:i/>
          <w:iCs/>
          <w:color w:val="000000"/>
        </w:rPr>
        <w:t>People v Forte</w:t>
      </w:r>
      <w:r w:rsidR="00197930" w:rsidRPr="007E0DDE">
        <w:rPr>
          <w:rFonts w:eastAsia="Times New Roman"/>
          <w:color w:val="000000"/>
        </w:rPr>
        <w:t>, 279 NY 204 [1938].</w:t>
      </w:r>
      <w:r w:rsidR="00735DAF" w:rsidRPr="007E0DDE">
        <w:rPr>
          <w:rFonts w:eastAsia="Times New Roman"/>
          <w:color w:val="000000"/>
        </w:rPr>
        <w:t>)</w:t>
      </w:r>
    </w:p>
    <w:p w14:paraId="11A2ABB5" w14:textId="77777777" w:rsidR="009140D1" w:rsidRPr="007E0DDE" w:rsidRDefault="009140D1" w:rsidP="0033312E">
      <w:pPr>
        <w:autoSpaceDE w:val="0"/>
        <w:autoSpaceDN w:val="0"/>
        <w:adjustRightInd w:val="0"/>
        <w:snapToGrid w:val="0"/>
        <w:spacing w:before="0"/>
        <w:jc w:val="both"/>
        <w:rPr>
          <w:rFonts w:eastAsia="Times New Roman"/>
          <w:color w:val="000000"/>
        </w:rPr>
      </w:pPr>
    </w:p>
    <w:p w14:paraId="4AA4CEF6" w14:textId="69338D9E" w:rsidR="003B1730" w:rsidRPr="007E0DDE" w:rsidRDefault="0092750B" w:rsidP="00ED4DA6">
      <w:pPr>
        <w:tabs>
          <w:tab w:val="left" w:pos="720"/>
        </w:tabs>
        <w:autoSpaceDE w:val="0"/>
        <w:autoSpaceDN w:val="0"/>
        <w:adjustRightInd w:val="0"/>
        <w:snapToGrid w:val="0"/>
        <w:spacing w:before="0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</w:rPr>
        <w:tab/>
      </w:r>
      <w:r w:rsidR="00577526" w:rsidRPr="007E0DDE">
        <w:rPr>
          <w:rFonts w:eastAsia="Times New Roman"/>
          <w:b/>
          <w:bCs/>
        </w:rPr>
        <w:t>Subdivision (</w:t>
      </w:r>
      <w:r w:rsidR="00205025" w:rsidRPr="007E0DDE">
        <w:rPr>
          <w:rFonts w:eastAsia="Times New Roman"/>
          <w:b/>
          <w:bCs/>
        </w:rPr>
        <w:t>3</w:t>
      </w:r>
      <w:r w:rsidR="00577526" w:rsidRPr="007E0DDE">
        <w:rPr>
          <w:rFonts w:eastAsia="Times New Roman"/>
          <w:b/>
          <w:bCs/>
        </w:rPr>
        <w:t>)</w:t>
      </w:r>
      <w:r w:rsidR="00775AE3" w:rsidRPr="007E0DDE">
        <w:rPr>
          <w:rFonts w:eastAsia="Times New Roman"/>
          <w:b/>
          <w:bCs/>
        </w:rPr>
        <w:t xml:space="preserve"> </w:t>
      </w:r>
      <w:r w:rsidR="00577526" w:rsidRPr="007E0DDE">
        <w:rPr>
          <w:rFonts w:eastAsia="Times New Roman"/>
          <w:b/>
          <w:bCs/>
        </w:rPr>
        <w:t>(b</w:t>
      </w:r>
      <w:r w:rsidR="00577526" w:rsidRPr="007E0DDE">
        <w:rPr>
          <w:rFonts w:eastAsia="Times New Roman"/>
        </w:rPr>
        <w:t xml:space="preserve">) </w:t>
      </w:r>
      <w:r w:rsidR="00577526" w:rsidRPr="007E0DDE">
        <w:rPr>
          <w:rFonts w:eastAsia="Times New Roman"/>
          <w:color w:val="000000"/>
        </w:rPr>
        <w:t xml:space="preserve">is derived </w:t>
      </w:r>
      <w:r w:rsidR="007D13CB" w:rsidRPr="007E0DDE">
        <w:rPr>
          <w:rFonts w:eastAsia="Times New Roman"/>
          <w:i/>
          <w:iCs/>
          <w:color w:val="000000"/>
        </w:rPr>
        <w:t>People v Jeter</w:t>
      </w:r>
      <w:r w:rsidR="0064610E" w:rsidRPr="007E0DDE">
        <w:rPr>
          <w:rFonts w:eastAsia="Times New Roman"/>
          <w:color w:val="000000"/>
        </w:rPr>
        <w:t xml:space="preserve"> (</w:t>
      </w:r>
      <w:r w:rsidR="007D13CB" w:rsidRPr="007E0DDE">
        <w:rPr>
          <w:rFonts w:eastAsia="Times New Roman"/>
          <w:color w:val="000000"/>
        </w:rPr>
        <w:t>80 NY2d 818, 820-</w:t>
      </w:r>
      <w:r w:rsidR="002502B1" w:rsidRPr="007E0DDE">
        <w:rPr>
          <w:rFonts w:eastAsia="Times New Roman"/>
          <w:color w:val="000000"/>
        </w:rPr>
        <w:t>8</w:t>
      </w:r>
      <w:r w:rsidR="007D13CB" w:rsidRPr="007E0DDE">
        <w:rPr>
          <w:rFonts w:eastAsia="Times New Roman"/>
          <w:color w:val="000000"/>
        </w:rPr>
        <w:t>21 [1992]</w:t>
      </w:r>
      <w:r w:rsidR="0064610E" w:rsidRPr="007E0DDE">
        <w:rPr>
          <w:rFonts w:eastAsia="Times New Roman"/>
          <w:color w:val="000000"/>
        </w:rPr>
        <w:t>)</w:t>
      </w:r>
      <w:r w:rsidR="00AC2CFC" w:rsidRPr="007E0DDE">
        <w:rPr>
          <w:rFonts w:eastAsia="Times New Roman"/>
          <w:color w:val="000000"/>
        </w:rPr>
        <w:t>, which stated:</w:t>
      </w:r>
      <w:r w:rsidR="00B03EB4">
        <w:rPr>
          <w:rFonts w:eastAsia="Times New Roman"/>
          <w:color w:val="000000"/>
        </w:rPr>
        <w:t xml:space="preserve"> </w:t>
      </w:r>
      <w:r w:rsidR="00AC2CFC" w:rsidRPr="007E0DDE">
        <w:rPr>
          <w:rFonts w:eastAsia="Times New Roman"/>
          <w:color w:val="000000"/>
        </w:rPr>
        <w:t>“</w:t>
      </w:r>
      <w:r w:rsidR="007D13CB" w:rsidRPr="007E0DDE">
        <w:rPr>
          <w:rFonts w:eastAsia="Times New Roman"/>
          <w:color w:val="000000"/>
        </w:rPr>
        <w:t>We do not agree that the court could properly have determined that voice spectrography is generally accepted as reliable based on the case law and existing literature on the subject</w:t>
      </w:r>
      <w:r w:rsidR="0074300C" w:rsidRPr="007E0DDE">
        <w:rPr>
          <w:rFonts w:eastAsia="Times New Roman"/>
          <w:color w:val="000000"/>
        </w:rPr>
        <w:t xml:space="preserve">. </w:t>
      </w:r>
      <w:r w:rsidR="007D13CB" w:rsidRPr="007E0DDE">
        <w:rPr>
          <w:rFonts w:eastAsia="Times New Roman"/>
          <w:color w:val="000000"/>
        </w:rPr>
        <w:t>In this instance, there is marked conflict in the judicial and legal authorities as to the reliability of the procedure. New York courts are split on the issue of admissibility</w:t>
      </w:r>
      <w:r w:rsidR="0074300C" w:rsidRPr="007E0DDE">
        <w:rPr>
          <w:rFonts w:eastAsia="Times New Roman"/>
          <w:color w:val="000000"/>
        </w:rPr>
        <w:t>.</w:t>
      </w:r>
      <w:r w:rsidR="007D13CB" w:rsidRPr="007E0DDE">
        <w:rPr>
          <w:rFonts w:eastAsia="Times New Roman"/>
          <w:color w:val="000000"/>
        </w:rPr>
        <w:t xml:space="preserve"> Moreover, while several jurisdictions have held that voice spectrography evidence is sufficiently reliable to be admissible, others have reached just the opposite conclusion</w:t>
      </w:r>
      <w:r w:rsidR="0074300C" w:rsidRPr="007E0DDE">
        <w:rPr>
          <w:rFonts w:eastAsia="Times New Roman"/>
          <w:color w:val="000000"/>
        </w:rPr>
        <w:t>.</w:t>
      </w:r>
      <w:r w:rsidR="00845E14" w:rsidRPr="007E0DDE">
        <w:rPr>
          <w:rFonts w:eastAsia="Times New Roman"/>
          <w:color w:val="000000"/>
        </w:rPr>
        <w:t xml:space="preserve"> </w:t>
      </w:r>
      <w:r w:rsidR="007D13CB" w:rsidRPr="007E0DDE">
        <w:rPr>
          <w:rFonts w:eastAsia="Times New Roman"/>
          <w:color w:val="000000"/>
        </w:rPr>
        <w:t>The legal scholarship on the admissibility of voice spectrography is likewise conflicting.</w:t>
      </w:r>
      <w:r w:rsidR="00397D5F" w:rsidRPr="007E0DDE">
        <w:rPr>
          <w:rFonts w:eastAsia="Times New Roman"/>
          <w:color w:val="000000"/>
        </w:rPr>
        <w:t xml:space="preserve"> </w:t>
      </w:r>
      <w:r w:rsidR="007D13CB" w:rsidRPr="007E0DDE">
        <w:rPr>
          <w:rFonts w:eastAsia="Times New Roman"/>
          <w:color w:val="000000"/>
        </w:rPr>
        <w:t>We conclude that the trial court lacked a proper basis to admit the voice spectrographic evidence without a preliminary inquiry into reliability</w:t>
      </w:r>
      <w:r w:rsidR="00397D5F" w:rsidRPr="007E0DDE">
        <w:rPr>
          <w:rFonts w:eastAsia="Times New Roman"/>
          <w:color w:val="000000"/>
        </w:rPr>
        <w:t>”</w:t>
      </w:r>
      <w:r w:rsidR="00CD3077" w:rsidRPr="007E0DDE">
        <w:rPr>
          <w:rFonts w:eastAsia="Times New Roman"/>
          <w:color w:val="000000"/>
        </w:rPr>
        <w:t xml:space="preserve"> (citations omitted)</w:t>
      </w:r>
      <w:r w:rsidR="002745A9" w:rsidRPr="007E0DDE">
        <w:rPr>
          <w:rFonts w:eastAsia="Times New Roman"/>
          <w:color w:val="000000"/>
        </w:rPr>
        <w:t>.</w:t>
      </w:r>
      <w:r w:rsidR="00640DB3" w:rsidRPr="007E0DDE">
        <w:rPr>
          <w:rFonts w:eastAsia="Times New Roman"/>
          <w:color w:val="000000"/>
        </w:rPr>
        <w:t xml:space="preserve"> (</w:t>
      </w:r>
      <w:r w:rsidR="005D09B6" w:rsidRPr="007E0DDE">
        <w:rPr>
          <w:rFonts w:eastAsia="Times New Roman"/>
          <w:i/>
          <w:iCs/>
          <w:color w:val="000000"/>
        </w:rPr>
        <w:t>But see</w:t>
      </w:r>
      <w:r w:rsidR="005D09B6" w:rsidRPr="007E0DDE">
        <w:rPr>
          <w:rFonts w:eastAsia="Times New Roman"/>
          <w:color w:val="000000"/>
        </w:rPr>
        <w:t xml:space="preserve"> </w:t>
      </w:r>
      <w:r w:rsidR="003B1730" w:rsidRPr="007E0DDE">
        <w:rPr>
          <w:rFonts w:eastAsia="Times New Roman"/>
          <w:i/>
          <w:iCs/>
          <w:color w:val="000000"/>
        </w:rPr>
        <w:t>People v Tyson</w:t>
      </w:r>
      <w:r w:rsidR="003B1730" w:rsidRPr="007E0DDE">
        <w:rPr>
          <w:rFonts w:eastAsia="Times New Roman"/>
          <w:color w:val="000000"/>
        </w:rPr>
        <w:t>, 209 AD2d 354, 355 [1st Dept 1994]</w:t>
      </w:r>
      <w:r w:rsidR="005D09B6" w:rsidRPr="007E0DDE">
        <w:rPr>
          <w:rFonts w:eastAsia="Times New Roman"/>
          <w:color w:val="000000"/>
        </w:rPr>
        <w:t xml:space="preserve"> [“I</w:t>
      </w:r>
      <w:r w:rsidR="003B1730" w:rsidRPr="007E0DDE">
        <w:rPr>
          <w:rFonts w:eastAsia="Times New Roman"/>
          <w:color w:val="000000"/>
        </w:rPr>
        <w:t>t was an abuse of discretion to deny defendant</w:t>
      </w:r>
      <w:r w:rsidR="0034567F">
        <w:rPr>
          <w:rFonts w:eastAsia="Times New Roman"/>
          <w:color w:val="000000"/>
        </w:rPr>
        <w:t>’</w:t>
      </w:r>
      <w:r w:rsidR="003B1730" w:rsidRPr="007E0DDE">
        <w:rPr>
          <w:rFonts w:eastAsia="Times New Roman"/>
          <w:color w:val="000000"/>
        </w:rPr>
        <w:t>s request for a reasonable expenditure to test whether a voice on a tape offered in evidence, in which defendant allegedly admitted the crime, was in fact defendant</w:t>
      </w:r>
      <w:r w:rsidR="0034567F">
        <w:rPr>
          <w:rFonts w:eastAsia="Times New Roman"/>
          <w:color w:val="000000"/>
        </w:rPr>
        <w:t>’</w:t>
      </w:r>
      <w:r w:rsidR="003B1730" w:rsidRPr="007E0DDE">
        <w:rPr>
          <w:rFonts w:eastAsia="Times New Roman"/>
          <w:color w:val="000000"/>
        </w:rPr>
        <w:t>s</w:t>
      </w:r>
      <w:r w:rsidR="00CD79AD" w:rsidRPr="007E0DDE">
        <w:rPr>
          <w:rFonts w:eastAsia="Times New Roman"/>
          <w:color w:val="000000"/>
        </w:rPr>
        <w:t xml:space="preserve"> . . . </w:t>
      </w:r>
      <w:r w:rsidR="003B1730" w:rsidRPr="007E0DDE">
        <w:rPr>
          <w:rFonts w:eastAsia="Times New Roman"/>
          <w:color w:val="000000"/>
        </w:rPr>
        <w:t xml:space="preserve">A preliminary hearing must then be held to determine the </w:t>
      </w:r>
      <w:r w:rsidR="003B1730" w:rsidRPr="007E0DDE">
        <w:rPr>
          <w:rFonts w:eastAsia="Times New Roman"/>
          <w:color w:val="000000"/>
        </w:rPr>
        <w:lastRenderedPageBreak/>
        <w:t>scientific reliability of the test should the expert conclude that the voice on the tape was not defendant</w:t>
      </w:r>
      <w:r w:rsidR="0034567F">
        <w:rPr>
          <w:rFonts w:eastAsia="Times New Roman"/>
          <w:color w:val="000000"/>
        </w:rPr>
        <w:t>’</w:t>
      </w:r>
      <w:r w:rsidR="003B1730" w:rsidRPr="007E0DDE">
        <w:rPr>
          <w:rFonts w:eastAsia="Times New Roman"/>
          <w:color w:val="000000"/>
        </w:rPr>
        <w:t>s</w:t>
      </w:r>
      <w:r w:rsidR="00F51D23" w:rsidRPr="007E0DDE">
        <w:rPr>
          <w:rFonts w:eastAsia="Times New Roman"/>
          <w:color w:val="000000"/>
        </w:rPr>
        <w:t>”</w:t>
      </w:r>
      <w:r w:rsidR="00640DB3" w:rsidRPr="007E0DDE">
        <w:rPr>
          <w:rFonts w:eastAsia="Times New Roman"/>
          <w:color w:val="000000"/>
        </w:rPr>
        <w:t>].</w:t>
      </w:r>
      <w:r w:rsidR="00F51D23" w:rsidRPr="007E0DDE">
        <w:rPr>
          <w:rFonts w:eastAsia="Times New Roman"/>
          <w:color w:val="000000"/>
        </w:rPr>
        <w:t>)</w:t>
      </w:r>
    </w:p>
    <w:p w14:paraId="39C370A2" w14:textId="77777777" w:rsidR="007D13CB" w:rsidRPr="007E0DDE" w:rsidRDefault="007D13CB" w:rsidP="007E0DDE">
      <w:pPr>
        <w:spacing w:before="0"/>
        <w:jc w:val="both"/>
        <w:rPr>
          <w:b/>
          <w:bCs/>
        </w:rPr>
      </w:pPr>
    </w:p>
    <w:p w14:paraId="7998C8AC" w14:textId="78DC97DF" w:rsidR="0064610E" w:rsidRPr="007E0DDE" w:rsidRDefault="00817377" w:rsidP="007E0DDE">
      <w:pPr>
        <w:tabs>
          <w:tab w:val="left" w:pos="720"/>
        </w:tabs>
        <w:spacing w:before="0"/>
        <w:jc w:val="both"/>
      </w:pPr>
      <w:r w:rsidRPr="007E0DDE">
        <w:rPr>
          <w:b/>
          <w:bCs/>
        </w:rPr>
        <w:tab/>
      </w:r>
      <w:r w:rsidR="00E44D4B" w:rsidRPr="007E0DDE">
        <w:rPr>
          <w:b/>
          <w:bCs/>
        </w:rPr>
        <w:t>Subdivision (</w:t>
      </w:r>
      <w:r w:rsidR="00205025" w:rsidRPr="007E0DDE">
        <w:rPr>
          <w:b/>
          <w:bCs/>
        </w:rPr>
        <w:t>4</w:t>
      </w:r>
      <w:r w:rsidR="00E44D4B" w:rsidRPr="007E0DDE">
        <w:rPr>
          <w:b/>
          <w:bCs/>
        </w:rPr>
        <w:t>)</w:t>
      </w:r>
      <w:r w:rsidR="00E44D4B" w:rsidRPr="007E0DDE">
        <w:t xml:space="preserve"> is derived from </w:t>
      </w:r>
      <w:r w:rsidR="00E44D4B" w:rsidRPr="007E0DDE">
        <w:rPr>
          <w:i/>
          <w:lang w:val="x-none"/>
        </w:rPr>
        <w:t>People v Williams</w:t>
      </w:r>
      <w:r w:rsidR="0064610E" w:rsidRPr="007E0DDE">
        <w:rPr>
          <w:i/>
        </w:rPr>
        <w:t xml:space="preserve"> </w:t>
      </w:r>
      <w:r w:rsidR="0064610E" w:rsidRPr="007E0DDE">
        <w:t>(</w:t>
      </w:r>
      <w:r w:rsidR="00E44D4B" w:rsidRPr="007E0DDE">
        <w:rPr>
          <w:lang w:val="x-none"/>
        </w:rPr>
        <w:t xml:space="preserve">35 NY3d 24, </w:t>
      </w:r>
      <w:r w:rsidR="00E44D4B" w:rsidRPr="007E0DDE">
        <w:t>43 [</w:t>
      </w:r>
      <w:r w:rsidR="00E44D4B" w:rsidRPr="007E0DDE">
        <w:rPr>
          <w:lang w:val="x-none"/>
        </w:rPr>
        <w:t>2020</w:t>
      </w:r>
      <w:r w:rsidR="00E44D4B" w:rsidRPr="007E0DDE">
        <w:t>]</w:t>
      </w:r>
      <w:r w:rsidR="0064610E" w:rsidRPr="007E0DDE">
        <w:t>)</w:t>
      </w:r>
      <w:r w:rsidR="009131FE" w:rsidRPr="007E0DDE">
        <w:t>,</w:t>
      </w:r>
      <w:r w:rsidR="00E44D4B" w:rsidRPr="007E0DDE">
        <w:t xml:space="preserve"> which stated</w:t>
      </w:r>
      <w:r w:rsidR="005F670D" w:rsidRPr="007E0DDE">
        <w:t>:</w:t>
      </w:r>
    </w:p>
    <w:p w14:paraId="261FACB6" w14:textId="77777777" w:rsidR="0064610E" w:rsidRPr="007E0DDE" w:rsidRDefault="0064610E" w:rsidP="0033312E">
      <w:pPr>
        <w:spacing w:before="0"/>
        <w:jc w:val="both"/>
      </w:pPr>
    </w:p>
    <w:p w14:paraId="12E3B65D" w14:textId="33564623" w:rsidR="00A73374" w:rsidRPr="007E0DDE" w:rsidRDefault="00817377" w:rsidP="007E0DDE">
      <w:pPr>
        <w:spacing w:before="0"/>
        <w:ind w:left="720" w:right="720"/>
        <w:jc w:val="both"/>
      </w:pPr>
      <w:r w:rsidRPr="007E0DDE">
        <w:t>“</w:t>
      </w:r>
      <w:r w:rsidR="0064610E" w:rsidRPr="007E0DDE">
        <w:t>[O]</w:t>
      </w:r>
      <w:r w:rsidR="003C0042" w:rsidRPr="007E0DDE">
        <w:t>ur</w:t>
      </w:r>
      <w:r w:rsidRPr="007E0DDE">
        <w:t xml:space="preserve"> </w:t>
      </w:r>
      <w:r w:rsidR="003C0042" w:rsidRPr="007E0DDE">
        <w:rPr>
          <w:i/>
          <w:iCs/>
        </w:rPr>
        <w:t>Frye</w:t>
      </w:r>
      <w:r w:rsidRPr="007E0DDE">
        <w:t xml:space="preserve"> </w:t>
      </w:r>
      <w:r w:rsidR="003C0042" w:rsidRPr="007E0DDE">
        <w:t>jurisprudence accounts for the fact that evolving views and opinions in a scientific community may occasionally require the scrutiny of a </w:t>
      </w:r>
      <w:r w:rsidR="003C0042" w:rsidRPr="007E0DDE">
        <w:rPr>
          <w:i/>
          <w:iCs/>
        </w:rPr>
        <w:t>Frye</w:t>
      </w:r>
      <w:r w:rsidR="003C0042" w:rsidRPr="007E0DDE">
        <w:t> hearing with respect to a familiar technique.</w:t>
      </w:r>
      <w:r w:rsidR="00A20570" w:rsidRPr="007E0DDE">
        <w:t xml:space="preserve"> </w:t>
      </w:r>
      <w:r w:rsidR="003C0042" w:rsidRPr="007E0DDE">
        <w:t>There is no absolute rule as to when a </w:t>
      </w:r>
      <w:r w:rsidR="003C0042" w:rsidRPr="007E0DDE">
        <w:rPr>
          <w:i/>
          <w:iCs/>
        </w:rPr>
        <w:t>Frye</w:t>
      </w:r>
      <w:r w:rsidR="003C0042" w:rsidRPr="007E0DDE">
        <w:t> hearing should or should not be granted, and courts should be guided by the current state of scientific knowledge and opinion in making such determinations.</w:t>
      </w:r>
    </w:p>
    <w:p w14:paraId="22B6A92E" w14:textId="77777777" w:rsidR="00A73374" w:rsidRPr="007E0DDE" w:rsidRDefault="00A73374" w:rsidP="007E0DDE">
      <w:pPr>
        <w:spacing w:before="0"/>
        <w:jc w:val="both"/>
      </w:pPr>
    </w:p>
    <w:p w14:paraId="3C711B2E" w14:textId="0FCD7613" w:rsidR="003C0042" w:rsidRPr="007E0DDE" w:rsidRDefault="00A73374" w:rsidP="007E0DDE">
      <w:pPr>
        <w:spacing w:before="0"/>
        <w:ind w:left="720" w:right="720"/>
        <w:jc w:val="both"/>
      </w:pPr>
      <w:r w:rsidRPr="007E0DDE">
        <w:t>“</w:t>
      </w:r>
      <w:r w:rsidR="003C0042" w:rsidRPr="007E0DDE">
        <w:t>Indeed, admissibility even after a finding of general acceptance through a</w:t>
      </w:r>
      <w:r w:rsidR="00817377" w:rsidRPr="007E0DDE">
        <w:t xml:space="preserve"> </w:t>
      </w:r>
      <w:r w:rsidR="003C0042" w:rsidRPr="007E0DDE">
        <w:rPr>
          <w:i/>
          <w:iCs/>
        </w:rPr>
        <w:t>Frye</w:t>
      </w:r>
      <w:r w:rsidR="00817377" w:rsidRPr="007E0DDE">
        <w:t xml:space="preserve"> </w:t>
      </w:r>
      <w:r w:rsidR="003C0042" w:rsidRPr="007E0DDE">
        <w:t xml:space="preserve">hearing is not always automatic. </w:t>
      </w:r>
      <w:bookmarkStart w:id="7" w:name="_Hlk100222865"/>
      <w:r w:rsidR="003C0042" w:rsidRPr="007E0DDE">
        <w:t xml:space="preserve">Recent questioning of previously accepted techniques related to hair comparisons, fire origin, </w:t>
      </w:r>
      <w:bookmarkStart w:id="8" w:name="_Hlk99659135"/>
      <w:r w:rsidR="003C0042" w:rsidRPr="007E0DDE">
        <w:t xml:space="preserve">comparative bullet lead analysis, </w:t>
      </w:r>
      <w:bookmarkEnd w:id="8"/>
      <w:r w:rsidR="003C0042" w:rsidRPr="007E0DDE">
        <w:t>bite mark matching, and bloodstain-pattern analysis illustrates that point; all of those analyses have long been accepted within their relevant scientific communities but recently have come into varying degrees of question.</w:t>
      </w:r>
      <w:bookmarkEnd w:id="7"/>
      <w:r w:rsidR="00817377" w:rsidRPr="007E0DDE">
        <w:t>”</w:t>
      </w:r>
    </w:p>
    <w:p w14:paraId="7CB408F8" w14:textId="06E7F501" w:rsidR="008D0354" w:rsidRPr="007E0DDE" w:rsidRDefault="008D0354" w:rsidP="007E0DDE">
      <w:pPr>
        <w:autoSpaceDE w:val="0"/>
        <w:autoSpaceDN w:val="0"/>
        <w:adjustRightInd w:val="0"/>
        <w:snapToGrid w:val="0"/>
        <w:spacing w:before="0"/>
        <w:rPr>
          <w:rFonts w:eastAsia="Times New Roman"/>
          <w:color w:val="000000"/>
        </w:rPr>
      </w:pPr>
    </w:p>
    <w:p w14:paraId="00A09379" w14:textId="77777777" w:rsidR="00AB27DD" w:rsidRPr="007E0DDE" w:rsidRDefault="00AB27DD" w:rsidP="007E0DDE">
      <w:pPr>
        <w:autoSpaceDE w:val="0"/>
        <w:autoSpaceDN w:val="0"/>
        <w:adjustRightInd w:val="0"/>
        <w:snapToGrid w:val="0"/>
        <w:spacing w:before="0"/>
        <w:rPr>
          <w:rFonts w:eastAsia="Times New Roman"/>
          <w:color w:val="000000"/>
          <w:lang w:val="x-none"/>
        </w:rPr>
      </w:pPr>
    </w:p>
    <w:sectPr w:rsidR="00AB27DD" w:rsidRPr="007E0DDE" w:rsidSect="007E0DDE">
      <w:footerReference w:type="default" r:id="rId8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1C6A" w14:textId="77777777" w:rsidR="005D6DB7" w:rsidRDefault="005D6DB7" w:rsidP="007E0DDE">
      <w:pPr>
        <w:spacing w:before="0"/>
      </w:pPr>
      <w:r>
        <w:separator/>
      </w:r>
    </w:p>
  </w:endnote>
  <w:endnote w:type="continuationSeparator" w:id="0">
    <w:p w14:paraId="7759E00A" w14:textId="77777777" w:rsidR="005D6DB7" w:rsidRDefault="005D6DB7" w:rsidP="007E0D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146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C14EBA" w14:textId="30F8E6F4" w:rsidR="007E0DDE" w:rsidRDefault="007E0D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C787" w14:textId="77777777" w:rsidR="005D6DB7" w:rsidRDefault="005D6DB7" w:rsidP="007E0DDE">
      <w:pPr>
        <w:spacing w:before="0"/>
      </w:pPr>
      <w:r>
        <w:separator/>
      </w:r>
    </w:p>
  </w:footnote>
  <w:footnote w:type="continuationSeparator" w:id="0">
    <w:p w14:paraId="3F5E3C16" w14:textId="77777777" w:rsidR="005D6DB7" w:rsidRDefault="005D6DB7" w:rsidP="007E0DD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449"/>
    <w:multiLevelType w:val="hybridMultilevel"/>
    <w:tmpl w:val="D786A874"/>
    <w:lvl w:ilvl="0" w:tplc="C8AAA8D8">
      <w:start w:val="4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B4F"/>
    <w:multiLevelType w:val="hybridMultilevel"/>
    <w:tmpl w:val="27CE5A9E"/>
    <w:lvl w:ilvl="0" w:tplc="FFFFFFFF">
      <w:start w:val="1"/>
      <w:numFmt w:val="lowerLetter"/>
      <w:lvlText w:val="(%1)"/>
      <w:lvlJc w:val="left"/>
      <w:pPr>
        <w:ind w:left="1890" w:hanging="360"/>
      </w:pPr>
      <w:rPr>
        <w:rFonts w:hint="default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1BDF"/>
    <w:multiLevelType w:val="multilevel"/>
    <w:tmpl w:val="EFD43A12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D17149"/>
    <w:multiLevelType w:val="hybridMultilevel"/>
    <w:tmpl w:val="75B65418"/>
    <w:lvl w:ilvl="0" w:tplc="985ECD24">
      <w:start w:val="1"/>
      <w:numFmt w:val="lowerLetter"/>
      <w:lvlText w:val="(%1)"/>
      <w:lvlJc w:val="left"/>
      <w:pPr>
        <w:ind w:left="10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" w15:restartNumberingAfterBreak="0">
    <w:nsid w:val="29834FB9"/>
    <w:multiLevelType w:val="hybridMultilevel"/>
    <w:tmpl w:val="5C8828B8"/>
    <w:lvl w:ilvl="0" w:tplc="863888B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985662"/>
    <w:multiLevelType w:val="hybridMultilevel"/>
    <w:tmpl w:val="9DB23890"/>
    <w:lvl w:ilvl="0" w:tplc="B2A62C7A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63F71"/>
    <w:multiLevelType w:val="hybridMultilevel"/>
    <w:tmpl w:val="28828AB4"/>
    <w:lvl w:ilvl="0" w:tplc="D5FEF56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AC04BA"/>
    <w:multiLevelType w:val="hybridMultilevel"/>
    <w:tmpl w:val="60809B04"/>
    <w:lvl w:ilvl="0" w:tplc="A39E4C30">
      <w:start w:val="1"/>
      <w:numFmt w:val="lowerLetter"/>
      <w:lvlText w:val="(%1)"/>
      <w:lvlJc w:val="left"/>
      <w:pPr>
        <w:ind w:left="1890" w:hanging="360"/>
      </w:pPr>
      <w:rPr>
        <w:rFonts w:hint="default"/>
        <w:strike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448F8"/>
    <w:multiLevelType w:val="hybridMultilevel"/>
    <w:tmpl w:val="F7B6899C"/>
    <w:lvl w:ilvl="0" w:tplc="2BAE1C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2B1BA4"/>
    <w:multiLevelType w:val="hybridMultilevel"/>
    <w:tmpl w:val="7170665E"/>
    <w:lvl w:ilvl="0" w:tplc="FFFFFFFF">
      <w:start w:val="1"/>
      <w:numFmt w:val="lowerLetter"/>
      <w:lvlText w:val="(%1)"/>
      <w:lvlJc w:val="left"/>
      <w:pPr>
        <w:ind w:left="1890" w:hanging="360"/>
      </w:pPr>
      <w:rPr>
        <w:rFonts w:hint="default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F33F6"/>
    <w:multiLevelType w:val="hybridMultilevel"/>
    <w:tmpl w:val="3A0EB718"/>
    <w:lvl w:ilvl="0" w:tplc="DF08D60A">
      <w:start w:val="1"/>
      <w:numFmt w:val="decimal"/>
      <w:lvlText w:val="(%1)"/>
      <w:lvlJc w:val="left"/>
      <w:pPr>
        <w:ind w:left="733" w:hanging="3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E5ED3"/>
    <w:multiLevelType w:val="hybridMultilevel"/>
    <w:tmpl w:val="A9B038E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558610">
    <w:abstractNumId w:val="10"/>
  </w:num>
  <w:num w:numId="2" w16cid:durableId="2054886139">
    <w:abstractNumId w:val="8"/>
  </w:num>
  <w:num w:numId="3" w16cid:durableId="1583684791">
    <w:abstractNumId w:val="3"/>
  </w:num>
  <w:num w:numId="4" w16cid:durableId="657004538">
    <w:abstractNumId w:val="7"/>
  </w:num>
  <w:num w:numId="5" w16cid:durableId="718013814">
    <w:abstractNumId w:val="5"/>
  </w:num>
  <w:num w:numId="6" w16cid:durableId="2000650115">
    <w:abstractNumId w:val="11"/>
  </w:num>
  <w:num w:numId="7" w16cid:durableId="1083382370">
    <w:abstractNumId w:val="9"/>
  </w:num>
  <w:num w:numId="8" w16cid:durableId="2060589613">
    <w:abstractNumId w:val="1"/>
  </w:num>
  <w:num w:numId="9" w16cid:durableId="836266045">
    <w:abstractNumId w:val="6"/>
  </w:num>
  <w:num w:numId="10" w16cid:durableId="601648011">
    <w:abstractNumId w:val="4"/>
  </w:num>
  <w:num w:numId="11" w16cid:durableId="538709179">
    <w:abstractNumId w:val="0"/>
  </w:num>
  <w:num w:numId="12" w16cid:durableId="422457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0MDM1MjSztLA0NDdR0lEKTi0uzszPAykwrAUADFNm4ywAAAA="/>
  </w:docVars>
  <w:rsids>
    <w:rsidRoot w:val="007140C3"/>
    <w:rsid w:val="00013A6E"/>
    <w:rsid w:val="00022319"/>
    <w:rsid w:val="000223A0"/>
    <w:rsid w:val="000238AD"/>
    <w:rsid w:val="00024B8E"/>
    <w:rsid w:val="00034682"/>
    <w:rsid w:val="00041DE9"/>
    <w:rsid w:val="00042DCC"/>
    <w:rsid w:val="00060EA2"/>
    <w:rsid w:val="000610AC"/>
    <w:rsid w:val="00070243"/>
    <w:rsid w:val="000712C4"/>
    <w:rsid w:val="00086AF8"/>
    <w:rsid w:val="00091378"/>
    <w:rsid w:val="00092EA4"/>
    <w:rsid w:val="000A22B1"/>
    <w:rsid w:val="000A732C"/>
    <w:rsid w:val="000B0684"/>
    <w:rsid w:val="000B34E1"/>
    <w:rsid w:val="000B550C"/>
    <w:rsid w:val="000B6756"/>
    <w:rsid w:val="000C1081"/>
    <w:rsid w:val="000C58A9"/>
    <w:rsid w:val="000C5CAF"/>
    <w:rsid w:val="000D0A57"/>
    <w:rsid w:val="000D0FD6"/>
    <w:rsid w:val="000D499A"/>
    <w:rsid w:val="000D619F"/>
    <w:rsid w:val="000D66CC"/>
    <w:rsid w:val="000D73B6"/>
    <w:rsid w:val="000E5B0D"/>
    <w:rsid w:val="000E60E6"/>
    <w:rsid w:val="000F1AAD"/>
    <w:rsid w:val="000F68F5"/>
    <w:rsid w:val="0010292E"/>
    <w:rsid w:val="001073B1"/>
    <w:rsid w:val="0011120B"/>
    <w:rsid w:val="001203BB"/>
    <w:rsid w:val="00123F98"/>
    <w:rsid w:val="00124370"/>
    <w:rsid w:val="0013175E"/>
    <w:rsid w:val="00132B83"/>
    <w:rsid w:val="00133DB7"/>
    <w:rsid w:val="001349FA"/>
    <w:rsid w:val="0014491E"/>
    <w:rsid w:val="00145267"/>
    <w:rsid w:val="00160432"/>
    <w:rsid w:val="00163BEF"/>
    <w:rsid w:val="00171481"/>
    <w:rsid w:val="001725A4"/>
    <w:rsid w:val="00197930"/>
    <w:rsid w:val="001A348A"/>
    <w:rsid w:val="001A3787"/>
    <w:rsid w:val="001A5DD0"/>
    <w:rsid w:val="001A605B"/>
    <w:rsid w:val="001A64CB"/>
    <w:rsid w:val="001C0A87"/>
    <w:rsid w:val="001C4D1E"/>
    <w:rsid w:val="001C7866"/>
    <w:rsid w:val="001D37F9"/>
    <w:rsid w:val="001D4A6F"/>
    <w:rsid w:val="001D6CF1"/>
    <w:rsid w:val="001E0AD5"/>
    <w:rsid w:val="001E6B83"/>
    <w:rsid w:val="00200AC0"/>
    <w:rsid w:val="00201EEB"/>
    <w:rsid w:val="00202B1E"/>
    <w:rsid w:val="00205025"/>
    <w:rsid w:val="00205551"/>
    <w:rsid w:val="0020782B"/>
    <w:rsid w:val="00207E3B"/>
    <w:rsid w:val="00211A89"/>
    <w:rsid w:val="00215264"/>
    <w:rsid w:val="00221DB5"/>
    <w:rsid w:val="00222548"/>
    <w:rsid w:val="002336FD"/>
    <w:rsid w:val="0023411D"/>
    <w:rsid w:val="00240172"/>
    <w:rsid w:val="002428B0"/>
    <w:rsid w:val="00243F93"/>
    <w:rsid w:val="002502B1"/>
    <w:rsid w:val="002517DD"/>
    <w:rsid w:val="00252F64"/>
    <w:rsid w:val="00254815"/>
    <w:rsid w:val="00257CC2"/>
    <w:rsid w:val="0026043F"/>
    <w:rsid w:val="00263887"/>
    <w:rsid w:val="002647F7"/>
    <w:rsid w:val="00265363"/>
    <w:rsid w:val="00273931"/>
    <w:rsid w:val="002745A9"/>
    <w:rsid w:val="00277373"/>
    <w:rsid w:val="00280592"/>
    <w:rsid w:val="0028639E"/>
    <w:rsid w:val="00293D85"/>
    <w:rsid w:val="002A7752"/>
    <w:rsid w:val="002B58E9"/>
    <w:rsid w:val="002C4F93"/>
    <w:rsid w:val="002D2FE1"/>
    <w:rsid w:val="002E1BAE"/>
    <w:rsid w:val="002E44AE"/>
    <w:rsid w:val="002E6723"/>
    <w:rsid w:val="002E68DC"/>
    <w:rsid w:val="002F168E"/>
    <w:rsid w:val="002F2048"/>
    <w:rsid w:val="002F40CD"/>
    <w:rsid w:val="002F4AEB"/>
    <w:rsid w:val="002F4D00"/>
    <w:rsid w:val="003010A6"/>
    <w:rsid w:val="00304731"/>
    <w:rsid w:val="003079EB"/>
    <w:rsid w:val="00317461"/>
    <w:rsid w:val="00317E85"/>
    <w:rsid w:val="00325520"/>
    <w:rsid w:val="003266F6"/>
    <w:rsid w:val="0033312E"/>
    <w:rsid w:val="003334A1"/>
    <w:rsid w:val="00335608"/>
    <w:rsid w:val="003417B3"/>
    <w:rsid w:val="0034567F"/>
    <w:rsid w:val="003462E9"/>
    <w:rsid w:val="003469C3"/>
    <w:rsid w:val="003643C0"/>
    <w:rsid w:val="003702FC"/>
    <w:rsid w:val="00372638"/>
    <w:rsid w:val="00374579"/>
    <w:rsid w:val="00374977"/>
    <w:rsid w:val="00384959"/>
    <w:rsid w:val="00385E0E"/>
    <w:rsid w:val="00386BE4"/>
    <w:rsid w:val="00387CFD"/>
    <w:rsid w:val="00390DBB"/>
    <w:rsid w:val="00395AF0"/>
    <w:rsid w:val="00397D5F"/>
    <w:rsid w:val="003A4DB0"/>
    <w:rsid w:val="003A5584"/>
    <w:rsid w:val="003A676B"/>
    <w:rsid w:val="003B1730"/>
    <w:rsid w:val="003B7A81"/>
    <w:rsid w:val="003B7F00"/>
    <w:rsid w:val="003C0042"/>
    <w:rsid w:val="003C07F4"/>
    <w:rsid w:val="003D1250"/>
    <w:rsid w:val="003D3D4C"/>
    <w:rsid w:val="003E2ACE"/>
    <w:rsid w:val="003F064D"/>
    <w:rsid w:val="003F3888"/>
    <w:rsid w:val="003F5509"/>
    <w:rsid w:val="003F6E86"/>
    <w:rsid w:val="00400FF4"/>
    <w:rsid w:val="00401445"/>
    <w:rsid w:val="004037C2"/>
    <w:rsid w:val="00404358"/>
    <w:rsid w:val="00412F55"/>
    <w:rsid w:val="00415443"/>
    <w:rsid w:val="00430242"/>
    <w:rsid w:val="00442242"/>
    <w:rsid w:val="00442A48"/>
    <w:rsid w:val="004432F1"/>
    <w:rsid w:val="00463426"/>
    <w:rsid w:val="004661F1"/>
    <w:rsid w:val="004708FD"/>
    <w:rsid w:val="004709C3"/>
    <w:rsid w:val="00472D5A"/>
    <w:rsid w:val="004731B2"/>
    <w:rsid w:val="0047333A"/>
    <w:rsid w:val="004753F9"/>
    <w:rsid w:val="00482002"/>
    <w:rsid w:val="00490741"/>
    <w:rsid w:val="004A106F"/>
    <w:rsid w:val="004B7386"/>
    <w:rsid w:val="004C2B4D"/>
    <w:rsid w:val="004C4532"/>
    <w:rsid w:val="004C4878"/>
    <w:rsid w:val="004C6226"/>
    <w:rsid w:val="004C69F7"/>
    <w:rsid w:val="004D2366"/>
    <w:rsid w:val="004D46AC"/>
    <w:rsid w:val="004E6996"/>
    <w:rsid w:val="004E7FF2"/>
    <w:rsid w:val="004F0521"/>
    <w:rsid w:val="004F2B9F"/>
    <w:rsid w:val="004F457E"/>
    <w:rsid w:val="004F5ED4"/>
    <w:rsid w:val="004F6C0F"/>
    <w:rsid w:val="004F7497"/>
    <w:rsid w:val="005102C3"/>
    <w:rsid w:val="00510ED5"/>
    <w:rsid w:val="005112F2"/>
    <w:rsid w:val="00513AD8"/>
    <w:rsid w:val="0052560B"/>
    <w:rsid w:val="0053081E"/>
    <w:rsid w:val="00533D8A"/>
    <w:rsid w:val="0053776A"/>
    <w:rsid w:val="005429E5"/>
    <w:rsid w:val="005519FE"/>
    <w:rsid w:val="005537D4"/>
    <w:rsid w:val="0055556F"/>
    <w:rsid w:val="0056015D"/>
    <w:rsid w:val="005713B0"/>
    <w:rsid w:val="005723E7"/>
    <w:rsid w:val="00573B86"/>
    <w:rsid w:val="00577526"/>
    <w:rsid w:val="00577CC1"/>
    <w:rsid w:val="00581085"/>
    <w:rsid w:val="005820BA"/>
    <w:rsid w:val="005858C3"/>
    <w:rsid w:val="005904F5"/>
    <w:rsid w:val="00590D3F"/>
    <w:rsid w:val="00594A39"/>
    <w:rsid w:val="005A2764"/>
    <w:rsid w:val="005A62C6"/>
    <w:rsid w:val="005B323B"/>
    <w:rsid w:val="005B4DEE"/>
    <w:rsid w:val="005B6B0C"/>
    <w:rsid w:val="005C3EF5"/>
    <w:rsid w:val="005C3F4A"/>
    <w:rsid w:val="005C68E3"/>
    <w:rsid w:val="005C6DC6"/>
    <w:rsid w:val="005D09B6"/>
    <w:rsid w:val="005D4E7D"/>
    <w:rsid w:val="005D50CD"/>
    <w:rsid w:val="005D6621"/>
    <w:rsid w:val="005D6CBB"/>
    <w:rsid w:val="005D6DB7"/>
    <w:rsid w:val="005F3879"/>
    <w:rsid w:val="005F670D"/>
    <w:rsid w:val="00603CEB"/>
    <w:rsid w:val="00606354"/>
    <w:rsid w:val="00612576"/>
    <w:rsid w:val="00612796"/>
    <w:rsid w:val="00613084"/>
    <w:rsid w:val="0061655D"/>
    <w:rsid w:val="00617191"/>
    <w:rsid w:val="00620321"/>
    <w:rsid w:val="00620C14"/>
    <w:rsid w:val="006223A4"/>
    <w:rsid w:val="00627A1E"/>
    <w:rsid w:val="006343BB"/>
    <w:rsid w:val="00634A5A"/>
    <w:rsid w:val="00636D76"/>
    <w:rsid w:val="00640DB3"/>
    <w:rsid w:val="00643BB5"/>
    <w:rsid w:val="0064610E"/>
    <w:rsid w:val="0066204B"/>
    <w:rsid w:val="00662674"/>
    <w:rsid w:val="00663C27"/>
    <w:rsid w:val="0067004E"/>
    <w:rsid w:val="0067128A"/>
    <w:rsid w:val="006747F5"/>
    <w:rsid w:val="00674AB5"/>
    <w:rsid w:val="00674F71"/>
    <w:rsid w:val="006759F2"/>
    <w:rsid w:val="0068051A"/>
    <w:rsid w:val="006810DE"/>
    <w:rsid w:val="0068420B"/>
    <w:rsid w:val="00684737"/>
    <w:rsid w:val="006856B2"/>
    <w:rsid w:val="006863D8"/>
    <w:rsid w:val="00691479"/>
    <w:rsid w:val="006A19C2"/>
    <w:rsid w:val="006A44EE"/>
    <w:rsid w:val="006B50BE"/>
    <w:rsid w:val="006C01AD"/>
    <w:rsid w:val="006C54AB"/>
    <w:rsid w:val="006C66C6"/>
    <w:rsid w:val="006D29FE"/>
    <w:rsid w:val="006D3D1C"/>
    <w:rsid w:val="006D3DAD"/>
    <w:rsid w:val="006D63DC"/>
    <w:rsid w:val="006E725F"/>
    <w:rsid w:val="006E791D"/>
    <w:rsid w:val="006F3E51"/>
    <w:rsid w:val="006F6B73"/>
    <w:rsid w:val="00701B6E"/>
    <w:rsid w:val="00703B2A"/>
    <w:rsid w:val="007140C3"/>
    <w:rsid w:val="0072255F"/>
    <w:rsid w:val="00722B32"/>
    <w:rsid w:val="00722C48"/>
    <w:rsid w:val="00722FD2"/>
    <w:rsid w:val="00725F56"/>
    <w:rsid w:val="00727B01"/>
    <w:rsid w:val="00730F73"/>
    <w:rsid w:val="00735DAF"/>
    <w:rsid w:val="0074300C"/>
    <w:rsid w:val="007466D1"/>
    <w:rsid w:val="00746E04"/>
    <w:rsid w:val="00752624"/>
    <w:rsid w:val="00761260"/>
    <w:rsid w:val="00761BDF"/>
    <w:rsid w:val="00764D41"/>
    <w:rsid w:val="00765B9E"/>
    <w:rsid w:val="00766878"/>
    <w:rsid w:val="0077178E"/>
    <w:rsid w:val="00771AEE"/>
    <w:rsid w:val="007745D3"/>
    <w:rsid w:val="00775AE3"/>
    <w:rsid w:val="00782A68"/>
    <w:rsid w:val="007854B3"/>
    <w:rsid w:val="007911BC"/>
    <w:rsid w:val="00792DB2"/>
    <w:rsid w:val="00796C78"/>
    <w:rsid w:val="007B31E5"/>
    <w:rsid w:val="007C0ABF"/>
    <w:rsid w:val="007C1EA3"/>
    <w:rsid w:val="007C2EBB"/>
    <w:rsid w:val="007D13CB"/>
    <w:rsid w:val="007D23F8"/>
    <w:rsid w:val="007D6CA3"/>
    <w:rsid w:val="007E0003"/>
    <w:rsid w:val="007E0DDE"/>
    <w:rsid w:val="007E19D7"/>
    <w:rsid w:val="007E1B71"/>
    <w:rsid w:val="007E274F"/>
    <w:rsid w:val="007E68C4"/>
    <w:rsid w:val="007F700B"/>
    <w:rsid w:val="007F726E"/>
    <w:rsid w:val="008038E2"/>
    <w:rsid w:val="00805601"/>
    <w:rsid w:val="0081320E"/>
    <w:rsid w:val="00813F86"/>
    <w:rsid w:val="008156B2"/>
    <w:rsid w:val="00817377"/>
    <w:rsid w:val="00820F13"/>
    <w:rsid w:val="00825F40"/>
    <w:rsid w:val="00830302"/>
    <w:rsid w:val="00833CC8"/>
    <w:rsid w:val="00833F44"/>
    <w:rsid w:val="00836B43"/>
    <w:rsid w:val="00845E14"/>
    <w:rsid w:val="00846864"/>
    <w:rsid w:val="00852A72"/>
    <w:rsid w:val="008554D2"/>
    <w:rsid w:val="00856B63"/>
    <w:rsid w:val="008640EB"/>
    <w:rsid w:val="00865C46"/>
    <w:rsid w:val="00867BD5"/>
    <w:rsid w:val="008807D4"/>
    <w:rsid w:val="00880D19"/>
    <w:rsid w:val="00884D8A"/>
    <w:rsid w:val="008911F4"/>
    <w:rsid w:val="008934E1"/>
    <w:rsid w:val="008A6E6D"/>
    <w:rsid w:val="008B080E"/>
    <w:rsid w:val="008C0007"/>
    <w:rsid w:val="008C3F03"/>
    <w:rsid w:val="008C4F72"/>
    <w:rsid w:val="008D0354"/>
    <w:rsid w:val="008D24FC"/>
    <w:rsid w:val="008D2745"/>
    <w:rsid w:val="008E1824"/>
    <w:rsid w:val="008F15C6"/>
    <w:rsid w:val="008F682E"/>
    <w:rsid w:val="00900FB8"/>
    <w:rsid w:val="00904255"/>
    <w:rsid w:val="00905C09"/>
    <w:rsid w:val="0091168B"/>
    <w:rsid w:val="009131FE"/>
    <w:rsid w:val="009139E7"/>
    <w:rsid w:val="009140D1"/>
    <w:rsid w:val="009231F8"/>
    <w:rsid w:val="0092325A"/>
    <w:rsid w:val="0092551C"/>
    <w:rsid w:val="0092750B"/>
    <w:rsid w:val="00930870"/>
    <w:rsid w:val="0093691D"/>
    <w:rsid w:val="009409AF"/>
    <w:rsid w:val="009423E4"/>
    <w:rsid w:val="00945BED"/>
    <w:rsid w:val="00945C25"/>
    <w:rsid w:val="0095500B"/>
    <w:rsid w:val="00955E2B"/>
    <w:rsid w:val="00964686"/>
    <w:rsid w:val="00964893"/>
    <w:rsid w:val="00966C86"/>
    <w:rsid w:val="00967E09"/>
    <w:rsid w:val="009756C9"/>
    <w:rsid w:val="00976A7B"/>
    <w:rsid w:val="0099133C"/>
    <w:rsid w:val="009947C2"/>
    <w:rsid w:val="0099621E"/>
    <w:rsid w:val="009A6970"/>
    <w:rsid w:val="009B1514"/>
    <w:rsid w:val="009B2B63"/>
    <w:rsid w:val="009C47FA"/>
    <w:rsid w:val="009C4899"/>
    <w:rsid w:val="009D474D"/>
    <w:rsid w:val="009E6567"/>
    <w:rsid w:val="009F6DFE"/>
    <w:rsid w:val="009F7785"/>
    <w:rsid w:val="00A03A9B"/>
    <w:rsid w:val="00A11FFE"/>
    <w:rsid w:val="00A12641"/>
    <w:rsid w:val="00A14467"/>
    <w:rsid w:val="00A17767"/>
    <w:rsid w:val="00A20570"/>
    <w:rsid w:val="00A27303"/>
    <w:rsid w:val="00A30290"/>
    <w:rsid w:val="00A31472"/>
    <w:rsid w:val="00A358D3"/>
    <w:rsid w:val="00A35E1E"/>
    <w:rsid w:val="00A36699"/>
    <w:rsid w:val="00A41446"/>
    <w:rsid w:val="00A444FC"/>
    <w:rsid w:val="00A504F0"/>
    <w:rsid w:val="00A5097B"/>
    <w:rsid w:val="00A53AA8"/>
    <w:rsid w:val="00A614BC"/>
    <w:rsid w:val="00A62AC2"/>
    <w:rsid w:val="00A63C80"/>
    <w:rsid w:val="00A73374"/>
    <w:rsid w:val="00A776CB"/>
    <w:rsid w:val="00A810CA"/>
    <w:rsid w:val="00A8304D"/>
    <w:rsid w:val="00A85EB2"/>
    <w:rsid w:val="00A865A9"/>
    <w:rsid w:val="00A92866"/>
    <w:rsid w:val="00A94BD4"/>
    <w:rsid w:val="00AA0AC3"/>
    <w:rsid w:val="00AA19DC"/>
    <w:rsid w:val="00AA2556"/>
    <w:rsid w:val="00AB27DD"/>
    <w:rsid w:val="00AC22C5"/>
    <w:rsid w:val="00AC29DB"/>
    <w:rsid w:val="00AC2CFC"/>
    <w:rsid w:val="00AD48FC"/>
    <w:rsid w:val="00AD6083"/>
    <w:rsid w:val="00AF2AC1"/>
    <w:rsid w:val="00AF5057"/>
    <w:rsid w:val="00B02AD6"/>
    <w:rsid w:val="00B03E68"/>
    <w:rsid w:val="00B03EB4"/>
    <w:rsid w:val="00B1193E"/>
    <w:rsid w:val="00B149C3"/>
    <w:rsid w:val="00B20F82"/>
    <w:rsid w:val="00B21450"/>
    <w:rsid w:val="00B22D8F"/>
    <w:rsid w:val="00B23ECE"/>
    <w:rsid w:val="00B27BF1"/>
    <w:rsid w:val="00B326B7"/>
    <w:rsid w:val="00B33F77"/>
    <w:rsid w:val="00B37838"/>
    <w:rsid w:val="00B37947"/>
    <w:rsid w:val="00B37E5C"/>
    <w:rsid w:val="00B42020"/>
    <w:rsid w:val="00B425C8"/>
    <w:rsid w:val="00B5234D"/>
    <w:rsid w:val="00B53AAA"/>
    <w:rsid w:val="00B56DBD"/>
    <w:rsid w:val="00B77C8A"/>
    <w:rsid w:val="00B8584A"/>
    <w:rsid w:val="00B91659"/>
    <w:rsid w:val="00B944EC"/>
    <w:rsid w:val="00B97AA5"/>
    <w:rsid w:val="00BC39C1"/>
    <w:rsid w:val="00BD0139"/>
    <w:rsid w:val="00BD03F3"/>
    <w:rsid w:val="00BD7324"/>
    <w:rsid w:val="00BE22AD"/>
    <w:rsid w:val="00C0124C"/>
    <w:rsid w:val="00C01A8A"/>
    <w:rsid w:val="00C06338"/>
    <w:rsid w:val="00C07696"/>
    <w:rsid w:val="00C154FA"/>
    <w:rsid w:val="00C22608"/>
    <w:rsid w:val="00C23DCD"/>
    <w:rsid w:val="00C2667D"/>
    <w:rsid w:val="00C266CF"/>
    <w:rsid w:val="00C34909"/>
    <w:rsid w:val="00C3520E"/>
    <w:rsid w:val="00C37E88"/>
    <w:rsid w:val="00C411F8"/>
    <w:rsid w:val="00C4268C"/>
    <w:rsid w:val="00C43C26"/>
    <w:rsid w:val="00C44AA4"/>
    <w:rsid w:val="00C52AEA"/>
    <w:rsid w:val="00C53226"/>
    <w:rsid w:val="00C544E3"/>
    <w:rsid w:val="00C601E9"/>
    <w:rsid w:val="00C615E6"/>
    <w:rsid w:val="00C6175C"/>
    <w:rsid w:val="00C73F00"/>
    <w:rsid w:val="00C76214"/>
    <w:rsid w:val="00C774A2"/>
    <w:rsid w:val="00C80B63"/>
    <w:rsid w:val="00C813C9"/>
    <w:rsid w:val="00C82EDF"/>
    <w:rsid w:val="00C84F37"/>
    <w:rsid w:val="00C86846"/>
    <w:rsid w:val="00C87347"/>
    <w:rsid w:val="00C9153C"/>
    <w:rsid w:val="00C933D9"/>
    <w:rsid w:val="00C95DEC"/>
    <w:rsid w:val="00C96AD8"/>
    <w:rsid w:val="00CA1945"/>
    <w:rsid w:val="00CA6986"/>
    <w:rsid w:val="00CA6A01"/>
    <w:rsid w:val="00CD03C2"/>
    <w:rsid w:val="00CD3077"/>
    <w:rsid w:val="00CD697B"/>
    <w:rsid w:val="00CD79AD"/>
    <w:rsid w:val="00CE5334"/>
    <w:rsid w:val="00CE6632"/>
    <w:rsid w:val="00CF064D"/>
    <w:rsid w:val="00CF320D"/>
    <w:rsid w:val="00D051B8"/>
    <w:rsid w:val="00D062A4"/>
    <w:rsid w:val="00D06CF3"/>
    <w:rsid w:val="00D0753D"/>
    <w:rsid w:val="00D16572"/>
    <w:rsid w:val="00D20C69"/>
    <w:rsid w:val="00D212E9"/>
    <w:rsid w:val="00D22844"/>
    <w:rsid w:val="00D22EA8"/>
    <w:rsid w:val="00D31665"/>
    <w:rsid w:val="00D524FE"/>
    <w:rsid w:val="00D5366E"/>
    <w:rsid w:val="00D5664B"/>
    <w:rsid w:val="00D60053"/>
    <w:rsid w:val="00D62F58"/>
    <w:rsid w:val="00D63252"/>
    <w:rsid w:val="00D64347"/>
    <w:rsid w:val="00D70419"/>
    <w:rsid w:val="00D763CA"/>
    <w:rsid w:val="00D86155"/>
    <w:rsid w:val="00D930DD"/>
    <w:rsid w:val="00D96DD7"/>
    <w:rsid w:val="00DA15F0"/>
    <w:rsid w:val="00DA33A3"/>
    <w:rsid w:val="00DA5B12"/>
    <w:rsid w:val="00DB1F8B"/>
    <w:rsid w:val="00DB50A4"/>
    <w:rsid w:val="00DB531F"/>
    <w:rsid w:val="00DB7966"/>
    <w:rsid w:val="00DD2925"/>
    <w:rsid w:val="00DD3021"/>
    <w:rsid w:val="00DD454D"/>
    <w:rsid w:val="00DD49DB"/>
    <w:rsid w:val="00DF09E9"/>
    <w:rsid w:val="00DF6443"/>
    <w:rsid w:val="00E03515"/>
    <w:rsid w:val="00E05AB6"/>
    <w:rsid w:val="00E12395"/>
    <w:rsid w:val="00E128D4"/>
    <w:rsid w:val="00E170E1"/>
    <w:rsid w:val="00E247E9"/>
    <w:rsid w:val="00E247FC"/>
    <w:rsid w:val="00E30044"/>
    <w:rsid w:val="00E32DCA"/>
    <w:rsid w:val="00E41568"/>
    <w:rsid w:val="00E41E84"/>
    <w:rsid w:val="00E44D4B"/>
    <w:rsid w:val="00E44FB0"/>
    <w:rsid w:val="00E4680C"/>
    <w:rsid w:val="00E4790F"/>
    <w:rsid w:val="00E50B3D"/>
    <w:rsid w:val="00E54D54"/>
    <w:rsid w:val="00E55A52"/>
    <w:rsid w:val="00E623FE"/>
    <w:rsid w:val="00E6449E"/>
    <w:rsid w:val="00E709EB"/>
    <w:rsid w:val="00E70ED3"/>
    <w:rsid w:val="00E73513"/>
    <w:rsid w:val="00E76C87"/>
    <w:rsid w:val="00E770FD"/>
    <w:rsid w:val="00E86CEE"/>
    <w:rsid w:val="00E9117F"/>
    <w:rsid w:val="00E9167C"/>
    <w:rsid w:val="00E94351"/>
    <w:rsid w:val="00E97EEC"/>
    <w:rsid w:val="00EA7C2A"/>
    <w:rsid w:val="00EB0CD1"/>
    <w:rsid w:val="00EB0F0D"/>
    <w:rsid w:val="00EB6AF9"/>
    <w:rsid w:val="00EC2A1F"/>
    <w:rsid w:val="00EC6553"/>
    <w:rsid w:val="00ED2C9A"/>
    <w:rsid w:val="00ED4DA6"/>
    <w:rsid w:val="00ED5955"/>
    <w:rsid w:val="00EE0273"/>
    <w:rsid w:val="00EE7277"/>
    <w:rsid w:val="00EE78D2"/>
    <w:rsid w:val="00EF153D"/>
    <w:rsid w:val="00EF31CF"/>
    <w:rsid w:val="00EF31D7"/>
    <w:rsid w:val="00EF6B16"/>
    <w:rsid w:val="00F0052F"/>
    <w:rsid w:val="00F049B6"/>
    <w:rsid w:val="00F057B4"/>
    <w:rsid w:val="00F07354"/>
    <w:rsid w:val="00F112B2"/>
    <w:rsid w:val="00F11658"/>
    <w:rsid w:val="00F13BB5"/>
    <w:rsid w:val="00F1600B"/>
    <w:rsid w:val="00F211C8"/>
    <w:rsid w:val="00F22F3B"/>
    <w:rsid w:val="00F37CD1"/>
    <w:rsid w:val="00F40551"/>
    <w:rsid w:val="00F51D23"/>
    <w:rsid w:val="00F546A5"/>
    <w:rsid w:val="00F5506B"/>
    <w:rsid w:val="00F66AB3"/>
    <w:rsid w:val="00F66B0B"/>
    <w:rsid w:val="00F730D9"/>
    <w:rsid w:val="00F734A4"/>
    <w:rsid w:val="00F75220"/>
    <w:rsid w:val="00F75DB9"/>
    <w:rsid w:val="00F8059C"/>
    <w:rsid w:val="00F80E3C"/>
    <w:rsid w:val="00F90526"/>
    <w:rsid w:val="00F944F8"/>
    <w:rsid w:val="00F9681B"/>
    <w:rsid w:val="00FA4127"/>
    <w:rsid w:val="00FA674E"/>
    <w:rsid w:val="00FB7120"/>
    <w:rsid w:val="00FC2020"/>
    <w:rsid w:val="00FC56DE"/>
    <w:rsid w:val="00FD0C4E"/>
    <w:rsid w:val="00FD0DDE"/>
    <w:rsid w:val="00FD283C"/>
    <w:rsid w:val="00FD2AF5"/>
    <w:rsid w:val="00FD5153"/>
    <w:rsid w:val="00FE22DB"/>
    <w:rsid w:val="00FE6454"/>
    <w:rsid w:val="00FF191D"/>
    <w:rsid w:val="00FF53E3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A0AD"/>
  <w15:chartTrackingRefBased/>
  <w15:docId w15:val="{7B134C39-F22E-407D-8722-9516B91A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B73"/>
  </w:style>
  <w:style w:type="paragraph" w:styleId="Heading1">
    <w:name w:val="heading 1"/>
    <w:basedOn w:val="Normal"/>
    <w:next w:val="Normal"/>
    <w:link w:val="Heading1Char"/>
    <w:uiPriority w:val="9"/>
    <w:qFormat/>
    <w:rsid w:val="00ED59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  <w:rPr>
      <w:rFonts w:eastAsia="Times New Roman"/>
    </w:rPr>
  </w:style>
  <w:style w:type="paragraph" w:styleId="TOC1">
    <w:name w:val="toc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rFonts w:eastAsia="Times New Roman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6F6B73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  <w:rPr>
      <w:rFonts w:eastAsia="Times New Roman"/>
    </w:rPr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45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B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166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59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D6CF1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9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BC71-44DB-4265-8F9B-2634290F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328</cp:revision>
  <cp:lastPrinted>2022-05-17T17:33:00Z</cp:lastPrinted>
  <dcterms:created xsi:type="dcterms:W3CDTF">2022-02-15T03:33:00Z</dcterms:created>
  <dcterms:modified xsi:type="dcterms:W3CDTF">2022-05-19T03:21:00Z</dcterms:modified>
</cp:coreProperties>
</file>