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0263" w14:textId="1BA3D0EA" w:rsidR="005F58FC" w:rsidRDefault="005F58FC" w:rsidP="00527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5271F4">
        <w:rPr>
          <w:sz w:val="28"/>
          <w:szCs w:val="28"/>
          <w:lang w:val="en-CA"/>
        </w:rPr>
        <w:fldChar w:fldCharType="begin"/>
      </w:r>
      <w:r w:rsidRPr="005271F4">
        <w:rPr>
          <w:sz w:val="28"/>
          <w:szCs w:val="28"/>
          <w:lang w:val="en-CA"/>
        </w:rPr>
        <w:instrText xml:space="preserve"> SEQ CHAPTER \h \r 1</w:instrText>
      </w:r>
      <w:r w:rsidRPr="005271F4">
        <w:rPr>
          <w:sz w:val="28"/>
          <w:szCs w:val="28"/>
          <w:lang w:val="en-CA"/>
        </w:rPr>
        <w:fldChar w:fldCharType="end"/>
      </w:r>
      <w:r w:rsidRPr="005271F4">
        <w:rPr>
          <w:b/>
          <w:bCs/>
          <w:sz w:val="28"/>
          <w:szCs w:val="28"/>
        </w:rPr>
        <w:t>8.3</w:t>
      </w:r>
      <w:r w:rsidR="00F0764C">
        <w:rPr>
          <w:b/>
          <w:bCs/>
          <w:sz w:val="28"/>
          <w:szCs w:val="28"/>
        </w:rPr>
        <w:t>8</w:t>
      </w:r>
      <w:r w:rsidRPr="005271F4">
        <w:rPr>
          <w:b/>
          <w:bCs/>
          <w:sz w:val="28"/>
          <w:szCs w:val="28"/>
        </w:rPr>
        <w:t>. Prompt Outcry</w:t>
      </w:r>
    </w:p>
    <w:p w14:paraId="576C0264" w14:textId="77777777" w:rsidR="005271F4" w:rsidRPr="005271F4" w:rsidRDefault="005271F4" w:rsidP="00527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576C0265" w14:textId="77777777" w:rsidR="005F58FC" w:rsidRDefault="005F58FC" w:rsidP="005271F4">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5271F4">
        <w:rPr>
          <w:b/>
          <w:bCs/>
          <w:sz w:val="28"/>
          <w:szCs w:val="28"/>
        </w:rPr>
        <w:t xml:space="preserve">Evidence that the victim of a sexual assault promptly reported the matter to another person is admissible: </w:t>
      </w:r>
    </w:p>
    <w:p w14:paraId="576C0266" w14:textId="77777777" w:rsidR="005271F4" w:rsidRPr="005271F4" w:rsidRDefault="005271F4" w:rsidP="005271F4">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p>
    <w:p w14:paraId="576C0267" w14:textId="77777777" w:rsidR="005F58FC" w:rsidRPr="005271F4" w:rsidRDefault="005F58FC" w:rsidP="005271F4">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8"/>
          <w:szCs w:val="28"/>
        </w:rPr>
        <w:sectPr w:rsidR="005F58FC" w:rsidRPr="005271F4" w:rsidSect="005271F4">
          <w:footerReference w:type="default" r:id="rId7"/>
          <w:type w:val="continuous"/>
          <w:pgSz w:w="12240" w:h="15840"/>
          <w:pgMar w:top="1440" w:right="2160" w:bottom="1440" w:left="2160" w:header="1440" w:footer="1440" w:gutter="0"/>
          <w:cols w:space="720"/>
        </w:sectPr>
      </w:pPr>
    </w:p>
    <w:p w14:paraId="576C0268" w14:textId="77777777" w:rsidR="005F58FC" w:rsidRPr="005271F4" w:rsidRDefault="005F58FC" w:rsidP="005271F4">
      <w:pPr>
        <w:pStyle w:val="L1-1"/>
        <w:widowControl/>
        <w:numPr>
          <w:ilvl w:val="0"/>
          <w:numId w:val="1"/>
        </w:numPr>
        <w:tabs>
          <w:tab w:val="left" w:pos="1154"/>
          <w:tab w:val="left" w:pos="1439"/>
          <w:tab w:val="left" w:pos="2159"/>
          <w:tab w:val="left" w:pos="2879"/>
          <w:tab w:val="left" w:pos="3599"/>
          <w:tab w:val="left" w:pos="4319"/>
          <w:tab w:val="left" w:pos="5039"/>
          <w:tab w:val="left" w:pos="5759"/>
          <w:tab w:val="left" w:pos="6479"/>
          <w:tab w:val="left" w:pos="7199"/>
        </w:tabs>
        <w:ind w:right="720"/>
        <w:rPr>
          <w:b/>
          <w:bCs/>
          <w:sz w:val="28"/>
          <w:szCs w:val="28"/>
        </w:rPr>
      </w:pPr>
      <w:r w:rsidRPr="005271F4">
        <w:rPr>
          <w:b/>
          <w:bCs/>
          <w:sz w:val="28"/>
          <w:szCs w:val="28"/>
        </w:rPr>
        <w:t>for the purpose of assessing the credibility of the complainant with respect to the commission of the offense; or</w:t>
      </w:r>
    </w:p>
    <w:p w14:paraId="576C0269" w14:textId="77777777" w:rsidR="005F58FC" w:rsidRPr="005271F4" w:rsidRDefault="005F58FC" w:rsidP="005271F4">
      <w:pPr>
        <w:pStyle w:val="ListParagra"/>
        <w:widowControl/>
        <w:numPr>
          <w:ilvl w:val="12"/>
          <w:numId w:val="0"/>
        </w:numPr>
        <w:tabs>
          <w:tab w:val="left" w:pos="1154"/>
          <w:tab w:val="left" w:pos="1439"/>
          <w:tab w:val="left" w:pos="2159"/>
          <w:tab w:val="left" w:pos="2879"/>
          <w:tab w:val="left" w:pos="3599"/>
          <w:tab w:val="left" w:pos="4319"/>
          <w:tab w:val="left" w:pos="5039"/>
          <w:tab w:val="left" w:pos="5759"/>
          <w:tab w:val="left" w:pos="6479"/>
          <w:tab w:val="left" w:pos="7199"/>
        </w:tabs>
        <w:spacing w:after="0" w:line="240" w:lineRule="auto"/>
        <w:ind w:left="1154" w:right="720"/>
        <w:rPr>
          <w:rFonts w:ascii="Times New Roman" w:hAnsi="Times New Roman" w:cs="Times New Roman"/>
          <w:b/>
          <w:bCs/>
          <w:sz w:val="28"/>
          <w:szCs w:val="28"/>
        </w:rPr>
      </w:pPr>
    </w:p>
    <w:p w14:paraId="576C026A" w14:textId="77777777" w:rsidR="005F58FC" w:rsidRPr="005271F4" w:rsidRDefault="005F58FC" w:rsidP="005271F4">
      <w:pPr>
        <w:pStyle w:val="L1-1"/>
        <w:widowControl/>
        <w:numPr>
          <w:ilvl w:val="0"/>
          <w:numId w:val="1"/>
        </w:numPr>
        <w:tabs>
          <w:tab w:val="left" w:pos="1154"/>
          <w:tab w:val="left" w:pos="1439"/>
          <w:tab w:val="left" w:pos="2159"/>
          <w:tab w:val="left" w:pos="2879"/>
          <w:tab w:val="left" w:pos="3599"/>
          <w:tab w:val="left" w:pos="4319"/>
          <w:tab w:val="left" w:pos="5039"/>
          <w:tab w:val="left" w:pos="5759"/>
          <w:tab w:val="left" w:pos="6479"/>
          <w:tab w:val="left" w:pos="7199"/>
        </w:tabs>
        <w:ind w:right="720"/>
        <w:rPr>
          <w:b/>
          <w:bCs/>
          <w:sz w:val="28"/>
          <w:szCs w:val="28"/>
        </w:rPr>
      </w:pPr>
      <w:r w:rsidRPr="005271F4">
        <w:rPr>
          <w:b/>
          <w:bCs/>
          <w:sz w:val="28"/>
          <w:szCs w:val="28"/>
        </w:rPr>
        <w:t xml:space="preserve">when relevant, and to the extent necessary, to explain the investigative process and complete the narrative of events leading to the defendant’s arrest. </w:t>
      </w:r>
    </w:p>
    <w:p w14:paraId="576C026B" w14:textId="77777777" w:rsidR="005F58FC" w:rsidRPr="005271F4" w:rsidRDefault="005F58FC" w:rsidP="005271F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8"/>
          <w:szCs w:val="28"/>
        </w:rPr>
      </w:pPr>
    </w:p>
    <w:p w14:paraId="576C026C" w14:textId="77777777" w:rsidR="005F58FC" w:rsidRPr="005271F4" w:rsidRDefault="005F58FC" w:rsidP="005271F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5271F4">
        <w:rPr>
          <w:b/>
          <w:bCs/>
          <w:sz w:val="24"/>
          <w:szCs w:val="24"/>
        </w:rPr>
        <w:t>N</w:t>
      </w:r>
      <w:r w:rsidR="005271F4" w:rsidRPr="005271F4">
        <w:rPr>
          <w:b/>
          <w:bCs/>
          <w:sz w:val="24"/>
          <w:szCs w:val="24"/>
        </w:rPr>
        <w:t>ote</w:t>
      </w:r>
    </w:p>
    <w:p w14:paraId="576C026D" w14:textId="77777777"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576C026E" w14:textId="77777777"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5271F4">
        <w:rPr>
          <w:rFonts w:ascii="Times New Roman" w:hAnsi="Times New Roman" w:cs="Times New Roman"/>
          <w:sz w:val="24"/>
          <w:szCs w:val="24"/>
        </w:rPr>
        <w:t>This rule is derived from substantial Court of Appeals precedent holding that in a sex offense criminal prosecution, evidence that the victim of the crime reported the assault shortly after it occurred is admissible as bearing on his or her credibility, a non-truth purpose. (</w:t>
      </w:r>
      <w:r w:rsidRPr="005271F4">
        <w:rPr>
          <w:rFonts w:ascii="Times New Roman" w:hAnsi="Times New Roman" w:cs="Times New Roman"/>
          <w:i/>
          <w:iCs/>
          <w:sz w:val="24"/>
          <w:szCs w:val="24"/>
        </w:rPr>
        <w:t>See e.g. People v Rosario</w:t>
      </w:r>
      <w:r w:rsidRPr="005271F4">
        <w:rPr>
          <w:rFonts w:ascii="Times New Roman" w:hAnsi="Times New Roman" w:cs="Times New Roman"/>
          <w:sz w:val="24"/>
          <w:szCs w:val="24"/>
        </w:rPr>
        <w:t xml:space="preserve">, 17 NY3d 501, 515 [2011]; </w:t>
      </w:r>
      <w:r w:rsidRPr="005271F4">
        <w:rPr>
          <w:rFonts w:ascii="Times New Roman" w:hAnsi="Times New Roman" w:cs="Times New Roman"/>
          <w:i/>
          <w:iCs/>
          <w:sz w:val="24"/>
          <w:szCs w:val="24"/>
        </w:rPr>
        <w:t>People v McDaniel</w:t>
      </w:r>
      <w:r w:rsidRPr="005271F4">
        <w:rPr>
          <w:rFonts w:ascii="Times New Roman" w:hAnsi="Times New Roman" w:cs="Times New Roman"/>
          <w:sz w:val="24"/>
          <w:szCs w:val="24"/>
        </w:rPr>
        <w:t xml:space="preserve">, 81 NY2d 10, 16-17 [1993]; </w:t>
      </w:r>
      <w:r w:rsidRPr="005271F4">
        <w:rPr>
          <w:rFonts w:ascii="Times New Roman" w:hAnsi="Times New Roman" w:cs="Times New Roman"/>
          <w:i/>
          <w:iCs/>
          <w:sz w:val="24"/>
          <w:szCs w:val="24"/>
        </w:rPr>
        <w:t>People v Rice</w:t>
      </w:r>
      <w:r w:rsidRPr="005271F4">
        <w:rPr>
          <w:rFonts w:ascii="Times New Roman" w:hAnsi="Times New Roman" w:cs="Times New Roman"/>
          <w:sz w:val="24"/>
          <w:szCs w:val="24"/>
        </w:rPr>
        <w:t xml:space="preserve">, 75 NY2d 929, 932 [1990]; </w:t>
      </w:r>
      <w:r w:rsidRPr="005271F4">
        <w:rPr>
          <w:rFonts w:ascii="Times New Roman" w:hAnsi="Times New Roman" w:cs="Times New Roman"/>
          <w:i/>
          <w:iCs/>
          <w:sz w:val="24"/>
          <w:szCs w:val="24"/>
        </w:rPr>
        <w:t>People v Deitsch</w:t>
      </w:r>
      <w:r w:rsidRPr="005271F4">
        <w:rPr>
          <w:rFonts w:ascii="Times New Roman" w:hAnsi="Times New Roman" w:cs="Times New Roman"/>
          <w:sz w:val="24"/>
          <w:szCs w:val="24"/>
        </w:rPr>
        <w:t xml:space="preserve">, 237 NY 300, 304 [1923]; </w:t>
      </w:r>
      <w:r w:rsidRPr="005271F4">
        <w:rPr>
          <w:rFonts w:ascii="Times New Roman" w:hAnsi="Times New Roman" w:cs="Times New Roman"/>
          <w:i/>
          <w:iCs/>
          <w:sz w:val="24"/>
          <w:szCs w:val="24"/>
        </w:rPr>
        <w:t>People v O</w:t>
      </w:r>
      <w:r w:rsidR="005271F4">
        <w:rPr>
          <w:rFonts w:ascii="Times New Roman" w:hAnsi="Times New Roman" w:cs="Times New Roman"/>
          <w:i/>
          <w:iCs/>
          <w:sz w:val="24"/>
          <w:szCs w:val="24"/>
        </w:rPr>
        <w:t>’</w:t>
      </w:r>
      <w:r w:rsidRPr="005271F4">
        <w:rPr>
          <w:rFonts w:ascii="Times New Roman" w:hAnsi="Times New Roman" w:cs="Times New Roman"/>
          <w:i/>
          <w:iCs/>
          <w:sz w:val="24"/>
          <w:szCs w:val="24"/>
        </w:rPr>
        <w:t>Sullivan</w:t>
      </w:r>
      <w:r w:rsidRPr="005271F4">
        <w:rPr>
          <w:rFonts w:ascii="Times New Roman" w:hAnsi="Times New Roman" w:cs="Times New Roman"/>
          <w:sz w:val="24"/>
          <w:szCs w:val="24"/>
        </w:rPr>
        <w:t xml:space="preserve">, 104 NY 481, 486 [1887]; </w:t>
      </w:r>
      <w:r w:rsidRPr="005271F4">
        <w:rPr>
          <w:rFonts w:ascii="Times New Roman" w:hAnsi="Times New Roman" w:cs="Times New Roman"/>
          <w:i/>
          <w:iCs/>
          <w:sz w:val="24"/>
          <w:szCs w:val="24"/>
        </w:rPr>
        <w:t>Baccio v People</w:t>
      </w:r>
      <w:r w:rsidRPr="005271F4">
        <w:rPr>
          <w:rFonts w:ascii="Times New Roman" w:hAnsi="Times New Roman" w:cs="Times New Roman"/>
          <w:sz w:val="24"/>
          <w:szCs w:val="24"/>
        </w:rPr>
        <w:t xml:space="preserve">, 41 NY </w:t>
      </w:r>
      <w:r w:rsidR="005271F4">
        <w:rPr>
          <w:rFonts w:ascii="Times New Roman" w:hAnsi="Times New Roman" w:cs="Times New Roman"/>
          <w:sz w:val="24"/>
          <w:szCs w:val="24"/>
        </w:rPr>
        <w:t>265 [1869].) In essence,</w:t>
      </w:r>
      <w:r w:rsidR="009F0CF9">
        <w:rPr>
          <w:rFonts w:ascii="Times New Roman" w:hAnsi="Times New Roman" w:cs="Times New Roman"/>
          <w:sz w:val="24"/>
          <w:szCs w:val="24"/>
        </w:rPr>
        <w:t xml:space="preserve"> </w:t>
      </w:r>
      <w:r w:rsidR="005271F4">
        <w:rPr>
          <w:rFonts w:ascii="Times New Roman" w:hAnsi="Times New Roman" w:cs="Times New Roman"/>
          <w:sz w:val="24"/>
          <w:szCs w:val="24"/>
        </w:rPr>
        <w:t>it is “</w:t>
      </w:r>
      <w:r w:rsidRPr="005271F4">
        <w:rPr>
          <w:rFonts w:ascii="Times New Roman" w:hAnsi="Times New Roman" w:cs="Times New Roman"/>
          <w:sz w:val="24"/>
          <w:szCs w:val="24"/>
        </w:rPr>
        <w:t>admissible to corroborate the allegation that an assault took place.</w:t>
      </w:r>
      <w:r w:rsidR="005271F4">
        <w:rPr>
          <w:rFonts w:ascii="Times New Roman" w:hAnsi="Times New Roman" w:cs="Times New Roman"/>
          <w:sz w:val="24"/>
          <w:szCs w:val="24"/>
        </w:rPr>
        <w:t>”</w:t>
      </w:r>
      <w:r w:rsidRPr="005271F4">
        <w:rPr>
          <w:rFonts w:ascii="Times New Roman" w:hAnsi="Times New Roman" w:cs="Times New Roman"/>
          <w:sz w:val="24"/>
          <w:szCs w:val="24"/>
        </w:rPr>
        <w:t xml:space="preserve"> (</w:t>
      </w:r>
      <w:r w:rsidRPr="005271F4">
        <w:rPr>
          <w:rFonts w:ascii="Times New Roman" w:hAnsi="Times New Roman" w:cs="Times New Roman"/>
          <w:i/>
          <w:iCs/>
          <w:sz w:val="24"/>
          <w:szCs w:val="24"/>
        </w:rPr>
        <w:t>McDaniel</w:t>
      </w:r>
      <w:r w:rsidRPr="005271F4">
        <w:rPr>
          <w:rFonts w:ascii="Times New Roman" w:hAnsi="Times New Roman" w:cs="Times New Roman"/>
          <w:sz w:val="24"/>
          <w:szCs w:val="24"/>
        </w:rPr>
        <w:t xml:space="preserve">, 81 NY2d at 16; </w:t>
      </w:r>
      <w:r w:rsidRPr="005271F4">
        <w:rPr>
          <w:rFonts w:ascii="Times New Roman" w:hAnsi="Times New Roman" w:cs="Times New Roman"/>
          <w:i/>
          <w:iCs/>
          <w:sz w:val="24"/>
          <w:szCs w:val="24"/>
        </w:rPr>
        <w:t>see also Rosario</w:t>
      </w:r>
      <w:r w:rsidRPr="005271F4">
        <w:rPr>
          <w:rFonts w:ascii="Times New Roman" w:hAnsi="Times New Roman" w:cs="Times New Roman"/>
          <w:sz w:val="24"/>
          <w:szCs w:val="24"/>
        </w:rPr>
        <w:t>, 17 NY</w:t>
      </w:r>
      <w:r w:rsidR="005271F4">
        <w:rPr>
          <w:rFonts w:ascii="Times New Roman" w:hAnsi="Times New Roman" w:cs="Times New Roman"/>
          <w:sz w:val="24"/>
          <w:szCs w:val="24"/>
        </w:rPr>
        <w:t>3d at 511 [viewing the rule as “</w:t>
      </w:r>
      <w:r w:rsidRPr="005271F4">
        <w:rPr>
          <w:rFonts w:ascii="Times New Roman" w:hAnsi="Times New Roman" w:cs="Times New Roman"/>
          <w:sz w:val="24"/>
          <w:szCs w:val="24"/>
        </w:rPr>
        <w:t>an exception to the inadmissibility of the prior consistent state</w:t>
      </w:r>
      <w:r w:rsidR="005271F4">
        <w:rPr>
          <w:rFonts w:ascii="Times New Roman" w:hAnsi="Times New Roman" w:cs="Times New Roman"/>
          <w:sz w:val="24"/>
          <w:szCs w:val="24"/>
        </w:rPr>
        <w:t>ments of an unimpeached witness”</w:t>
      </w:r>
      <w:r w:rsidRPr="005271F4">
        <w:rPr>
          <w:rFonts w:ascii="Times New Roman" w:hAnsi="Times New Roman" w:cs="Times New Roman"/>
          <w:sz w:val="24"/>
          <w:szCs w:val="24"/>
        </w:rPr>
        <w:t>].)</w:t>
      </w:r>
    </w:p>
    <w:p w14:paraId="576C026F" w14:textId="77777777"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14:paraId="576C0270" w14:textId="77777777" w:rsidR="005F58FC" w:rsidRPr="005271F4" w:rsidRDefault="005271F4"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Pr>
          <w:rFonts w:ascii="Times New Roman" w:hAnsi="Times New Roman" w:cs="Times New Roman"/>
          <w:sz w:val="24"/>
          <w:szCs w:val="24"/>
        </w:rPr>
        <w:t>The “</w:t>
      </w:r>
      <w:r w:rsidR="005F58FC" w:rsidRPr="005271F4">
        <w:rPr>
          <w:rFonts w:ascii="Times New Roman" w:hAnsi="Times New Roman" w:cs="Times New Roman"/>
          <w:sz w:val="24"/>
          <w:szCs w:val="24"/>
        </w:rPr>
        <w:t>premise</w:t>
      </w:r>
      <w:r w:rsidR="009F0CF9">
        <w:rPr>
          <w:rFonts w:ascii="Times New Roman" w:hAnsi="Times New Roman" w:cs="Times New Roman"/>
          <w:color w:val="212121"/>
          <w:sz w:val="24"/>
          <w:szCs w:val="24"/>
        </w:rPr>
        <w:t>”</w:t>
      </w:r>
      <w:r w:rsidR="005F58FC" w:rsidRPr="005271F4">
        <w:rPr>
          <w:rFonts w:ascii="Times New Roman" w:hAnsi="Times New Roman" w:cs="Times New Roman"/>
          <w:sz w:val="24"/>
          <w:szCs w:val="24"/>
        </w:rPr>
        <w:t xml:space="preserve"> for this </w:t>
      </w:r>
      <w:r>
        <w:rPr>
          <w:rFonts w:ascii="Times New Roman" w:hAnsi="Times New Roman" w:cs="Times New Roman"/>
          <w:color w:val="212121"/>
          <w:sz w:val="24"/>
          <w:szCs w:val="24"/>
        </w:rPr>
        <w:t>evidence,</w:t>
      </w:r>
      <w:r w:rsidR="005F58FC" w:rsidRPr="005271F4">
        <w:rPr>
          <w:rFonts w:ascii="Times New Roman" w:hAnsi="Times New Roman" w:cs="Times New Roman"/>
          <w:color w:val="212121"/>
          <w:sz w:val="24"/>
          <w:szCs w:val="24"/>
        </w:rPr>
        <w:t xml:space="preserve"> a</w:t>
      </w:r>
      <w:r>
        <w:rPr>
          <w:rFonts w:ascii="Times New Roman" w:hAnsi="Times New Roman" w:cs="Times New Roman"/>
          <w:color w:val="212121"/>
          <w:sz w:val="24"/>
          <w:szCs w:val="24"/>
        </w:rPr>
        <w:t>s stated by the Court, is that “prompt complaint was ‘</w:t>
      </w:r>
      <w:r w:rsidR="005F58FC" w:rsidRPr="005271F4">
        <w:rPr>
          <w:rFonts w:ascii="Times New Roman" w:hAnsi="Times New Roman" w:cs="Times New Roman"/>
          <w:color w:val="212121"/>
          <w:sz w:val="24"/>
          <w:szCs w:val="24"/>
        </w:rPr>
        <w:t>natural</w:t>
      </w:r>
      <w:r>
        <w:rPr>
          <w:rFonts w:ascii="Times New Roman" w:hAnsi="Times New Roman" w:cs="Times New Roman"/>
          <w:color w:val="212121"/>
          <w:sz w:val="24"/>
          <w:szCs w:val="24"/>
        </w:rPr>
        <w:t>’ conduct on the part of an ‘outraged [complainant],’</w:t>
      </w:r>
      <w:r w:rsidR="005F58FC" w:rsidRPr="005271F4">
        <w:rPr>
          <w:rFonts w:ascii="Times New Roman" w:hAnsi="Times New Roman" w:cs="Times New Roman"/>
          <w:color w:val="212121"/>
          <w:sz w:val="24"/>
          <w:szCs w:val="24"/>
        </w:rPr>
        <w:t xml:space="preserve"> and failure to complain therefore cast doubt on the complainant's veracity; outcry evidence was considered necessary to rebut the adverse inference a jury would inevitably draw if not presented with proof of a timely complaint.</w:t>
      </w:r>
      <w:r>
        <w:rPr>
          <w:rFonts w:ascii="Times New Roman" w:hAnsi="Times New Roman" w:cs="Times New Roman"/>
          <w:color w:val="212121"/>
          <w:sz w:val="24"/>
          <w:szCs w:val="24"/>
        </w:rPr>
        <w:t>”</w:t>
      </w:r>
      <w:r w:rsidR="005F58FC" w:rsidRPr="005271F4">
        <w:rPr>
          <w:rFonts w:ascii="Times New Roman" w:hAnsi="Times New Roman" w:cs="Times New Roman"/>
          <w:color w:val="212121"/>
          <w:sz w:val="24"/>
          <w:szCs w:val="24"/>
        </w:rPr>
        <w:t xml:space="preserve"> (</w:t>
      </w:r>
      <w:r w:rsidR="005F58FC" w:rsidRPr="005271F4">
        <w:rPr>
          <w:rFonts w:ascii="Times New Roman" w:hAnsi="Times New Roman" w:cs="Times New Roman"/>
          <w:i/>
          <w:iCs/>
          <w:color w:val="212121"/>
          <w:sz w:val="24"/>
          <w:szCs w:val="24"/>
        </w:rPr>
        <w:t>Rice</w:t>
      </w:r>
      <w:r w:rsidR="005F58FC" w:rsidRPr="005271F4">
        <w:rPr>
          <w:rFonts w:ascii="Times New Roman" w:hAnsi="Times New Roman" w:cs="Times New Roman"/>
          <w:color w:val="212121"/>
          <w:sz w:val="24"/>
          <w:szCs w:val="24"/>
        </w:rPr>
        <w:t>, 75 NY2d at 931.)</w:t>
      </w:r>
    </w:p>
    <w:p w14:paraId="576C0271" w14:textId="77777777"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left"/>
        <w:rPr>
          <w:rFonts w:ascii="Times New Roman" w:hAnsi="Times New Roman" w:cs="Times New Roman"/>
          <w:sz w:val="24"/>
          <w:szCs w:val="24"/>
        </w:rPr>
      </w:pPr>
    </w:p>
    <w:p w14:paraId="576C0272" w14:textId="77777777"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5271F4">
        <w:rPr>
          <w:rFonts w:ascii="Times New Roman" w:hAnsi="Times New Roman" w:cs="Times New Roman"/>
          <w:sz w:val="24"/>
          <w:szCs w:val="24"/>
        </w:rPr>
        <w:t>There are two limitations to admissibility under this rule. First, the complaint must be made promptly</w:t>
      </w:r>
      <w:r w:rsidR="005271F4">
        <w:rPr>
          <w:rFonts w:ascii="Times New Roman" w:hAnsi="Times New Roman" w:cs="Times New Roman"/>
          <w:sz w:val="24"/>
          <w:szCs w:val="24"/>
        </w:rPr>
        <w:t>, which requires it to be made “</w:t>
      </w:r>
      <w:r w:rsidRPr="005271F4">
        <w:rPr>
          <w:rFonts w:ascii="Times New Roman" w:hAnsi="Times New Roman" w:cs="Times New Roman"/>
          <w:sz w:val="24"/>
          <w:szCs w:val="24"/>
        </w:rPr>
        <w:t>at the first suitable opportunity.</w:t>
      </w:r>
      <w:r w:rsidR="005271F4">
        <w:rPr>
          <w:rFonts w:ascii="Times New Roman" w:hAnsi="Times New Roman" w:cs="Times New Roman"/>
          <w:sz w:val="24"/>
          <w:szCs w:val="24"/>
        </w:rPr>
        <w:t>”</w:t>
      </w:r>
      <w:r w:rsidRPr="005271F4">
        <w:rPr>
          <w:rFonts w:ascii="Times New Roman" w:hAnsi="Times New Roman" w:cs="Times New Roman"/>
          <w:sz w:val="24"/>
          <w:szCs w:val="24"/>
        </w:rPr>
        <w:t xml:space="preserve"> (</w:t>
      </w:r>
      <w:r w:rsidRPr="005271F4">
        <w:rPr>
          <w:rFonts w:ascii="Times New Roman" w:hAnsi="Times New Roman" w:cs="Times New Roman"/>
          <w:i/>
          <w:iCs/>
          <w:sz w:val="24"/>
          <w:szCs w:val="24"/>
        </w:rPr>
        <w:t>See Rosario</w:t>
      </w:r>
      <w:r w:rsidRPr="005271F4">
        <w:rPr>
          <w:rFonts w:ascii="Times New Roman" w:hAnsi="Times New Roman" w:cs="Times New Roman"/>
          <w:sz w:val="24"/>
          <w:szCs w:val="24"/>
        </w:rPr>
        <w:t xml:space="preserve">, 17 NY3d at 512, 515; </w:t>
      </w:r>
      <w:r w:rsidRPr="005271F4">
        <w:rPr>
          <w:rFonts w:ascii="Times New Roman" w:hAnsi="Times New Roman" w:cs="Times New Roman"/>
          <w:i/>
          <w:iCs/>
          <w:color w:val="212121"/>
          <w:sz w:val="24"/>
          <w:szCs w:val="24"/>
        </w:rPr>
        <w:t>People v Shelton</w:t>
      </w:r>
      <w:r w:rsidRPr="005271F4">
        <w:rPr>
          <w:rFonts w:ascii="Times New Roman" w:hAnsi="Times New Roman" w:cs="Times New Roman"/>
          <w:color w:val="212121"/>
          <w:sz w:val="24"/>
          <w:szCs w:val="24"/>
        </w:rPr>
        <w:t>, 1 NY3d 614, 615</w:t>
      </w:r>
      <w:r w:rsidRPr="005271F4">
        <w:rPr>
          <w:rFonts w:ascii="Times New Roman" w:hAnsi="Times New Roman" w:cs="Times New Roman"/>
          <w:sz w:val="24"/>
          <w:szCs w:val="24"/>
        </w:rPr>
        <w:t xml:space="preserve"> [2004].) </w:t>
      </w:r>
      <w:r w:rsidRPr="005271F4">
        <w:rPr>
          <w:rFonts w:ascii="Times New Roman" w:hAnsi="Times New Roman" w:cs="Times New Roman"/>
          <w:color w:val="212121"/>
          <w:sz w:val="24"/>
          <w:szCs w:val="24"/>
        </w:rPr>
        <w:t xml:space="preserve">What constitutes </w:t>
      </w:r>
      <w:r w:rsidR="005271F4">
        <w:rPr>
          <w:rFonts w:ascii="Times New Roman" w:hAnsi="Times New Roman" w:cs="Times New Roman"/>
          <w:color w:val="212121"/>
          <w:sz w:val="24"/>
          <w:szCs w:val="24"/>
        </w:rPr>
        <w:t>the first suitable opportunity “</w:t>
      </w:r>
      <w:r w:rsidRPr="005271F4">
        <w:rPr>
          <w:rFonts w:ascii="Times New Roman" w:hAnsi="Times New Roman" w:cs="Times New Roman"/>
          <w:color w:val="212121"/>
          <w:sz w:val="24"/>
          <w:szCs w:val="24"/>
        </w:rPr>
        <w:t>is a relative concept dependent on the facts.</w:t>
      </w:r>
      <w:r w:rsidR="005271F4">
        <w:rPr>
          <w:rFonts w:ascii="Times New Roman" w:hAnsi="Times New Roman" w:cs="Times New Roman"/>
          <w:color w:val="212121"/>
          <w:sz w:val="24"/>
          <w:szCs w:val="24"/>
        </w:rPr>
        <w:t>”</w:t>
      </w:r>
      <w:r w:rsidRPr="005271F4">
        <w:rPr>
          <w:rFonts w:ascii="Times New Roman" w:hAnsi="Times New Roman" w:cs="Times New Roman"/>
          <w:color w:val="212121"/>
          <w:sz w:val="24"/>
          <w:szCs w:val="24"/>
        </w:rPr>
        <w:t xml:space="preserve"> (</w:t>
      </w:r>
      <w:r w:rsidRPr="005271F4">
        <w:rPr>
          <w:rFonts w:ascii="Times New Roman" w:hAnsi="Times New Roman" w:cs="Times New Roman"/>
          <w:i/>
          <w:iCs/>
          <w:color w:val="212121"/>
          <w:sz w:val="24"/>
          <w:szCs w:val="24"/>
        </w:rPr>
        <w:t>McDaniel</w:t>
      </w:r>
      <w:r w:rsidRPr="005271F4">
        <w:rPr>
          <w:rFonts w:ascii="Times New Roman" w:hAnsi="Times New Roman" w:cs="Times New Roman"/>
          <w:color w:val="212121"/>
          <w:sz w:val="24"/>
          <w:szCs w:val="24"/>
        </w:rPr>
        <w:t xml:space="preserve">, 81 NY2d at 17; </w:t>
      </w:r>
      <w:r w:rsidRPr="005271F4">
        <w:rPr>
          <w:rFonts w:ascii="Times New Roman" w:hAnsi="Times New Roman" w:cs="Times New Roman"/>
          <w:i/>
          <w:iCs/>
          <w:color w:val="212121"/>
          <w:sz w:val="24"/>
          <w:szCs w:val="24"/>
        </w:rPr>
        <w:t>see also</w:t>
      </w:r>
      <w:r w:rsidRPr="005271F4">
        <w:rPr>
          <w:rFonts w:ascii="Times New Roman" w:hAnsi="Times New Roman" w:cs="Times New Roman"/>
          <w:color w:val="212121"/>
          <w:sz w:val="24"/>
          <w:szCs w:val="24"/>
        </w:rPr>
        <w:t xml:space="preserve"> </w:t>
      </w:r>
      <w:r w:rsidRPr="005271F4">
        <w:rPr>
          <w:rFonts w:ascii="Times New Roman" w:hAnsi="Times New Roman" w:cs="Times New Roman"/>
          <w:i/>
          <w:iCs/>
          <w:color w:val="212121"/>
          <w:sz w:val="24"/>
          <w:szCs w:val="24"/>
        </w:rPr>
        <w:t>O'Sullivan</w:t>
      </w:r>
      <w:r w:rsidR="005271F4">
        <w:rPr>
          <w:rFonts w:ascii="Times New Roman" w:hAnsi="Times New Roman" w:cs="Times New Roman"/>
          <w:color w:val="212121"/>
          <w:sz w:val="24"/>
          <w:szCs w:val="24"/>
        </w:rPr>
        <w:t>, 104 NY at 489 [noting “</w:t>
      </w:r>
      <w:r w:rsidRPr="005271F4">
        <w:rPr>
          <w:rFonts w:ascii="Times New Roman" w:hAnsi="Times New Roman" w:cs="Times New Roman"/>
          <w:color w:val="212121"/>
          <w:sz w:val="24"/>
          <w:szCs w:val="24"/>
        </w:rPr>
        <w:t>circumstances which will excuse delay</w:t>
      </w:r>
      <w:r w:rsidR="005271F4">
        <w:rPr>
          <w:rFonts w:ascii="Times New Roman" w:hAnsi="Times New Roman" w:cs="Times New Roman"/>
          <w:color w:val="212121"/>
          <w:sz w:val="24"/>
          <w:szCs w:val="24"/>
        </w:rPr>
        <w:t>”</w:t>
      </w:r>
      <w:r w:rsidRPr="005271F4">
        <w:rPr>
          <w:rFonts w:ascii="Times New Roman" w:hAnsi="Times New Roman" w:cs="Times New Roman"/>
          <w:color w:val="212121"/>
          <w:sz w:val="24"/>
          <w:szCs w:val="24"/>
        </w:rPr>
        <w:t xml:space="preserve">].) </w:t>
      </w:r>
      <w:r w:rsidRPr="005271F4">
        <w:rPr>
          <w:rFonts w:ascii="Times New Roman" w:hAnsi="Times New Roman" w:cs="Times New Roman"/>
          <w:sz w:val="24"/>
          <w:szCs w:val="24"/>
        </w:rPr>
        <w:t>Second, only the fact of complaint, and not the details, is normally admissible. (</w:t>
      </w:r>
      <w:r w:rsidRPr="005271F4">
        <w:rPr>
          <w:rFonts w:ascii="Times New Roman" w:hAnsi="Times New Roman" w:cs="Times New Roman"/>
          <w:i/>
          <w:iCs/>
          <w:sz w:val="24"/>
          <w:szCs w:val="24"/>
        </w:rPr>
        <w:t>See Rice</w:t>
      </w:r>
      <w:r w:rsidRPr="005271F4">
        <w:rPr>
          <w:rFonts w:ascii="Times New Roman" w:hAnsi="Times New Roman" w:cs="Times New Roman"/>
          <w:sz w:val="24"/>
          <w:szCs w:val="24"/>
        </w:rPr>
        <w:t>, 75 NY2d at 932</w:t>
      </w:r>
      <w:r w:rsidRPr="005271F4">
        <w:rPr>
          <w:rFonts w:ascii="Times New Roman" w:hAnsi="Times New Roman" w:cs="Times New Roman"/>
          <w:i/>
          <w:iCs/>
          <w:sz w:val="24"/>
          <w:szCs w:val="24"/>
        </w:rPr>
        <w:t xml:space="preserve"> </w:t>
      </w:r>
      <w:r w:rsidRPr="005271F4">
        <w:rPr>
          <w:rFonts w:ascii="Times New Roman" w:hAnsi="Times New Roman" w:cs="Times New Roman"/>
          <w:sz w:val="24"/>
          <w:szCs w:val="24"/>
        </w:rPr>
        <w:lastRenderedPageBreak/>
        <w:t xml:space="preserve">[error to admit description of the assailant under the rule]; </w:t>
      </w:r>
      <w:r w:rsidRPr="005271F4">
        <w:rPr>
          <w:rFonts w:ascii="Times New Roman" w:hAnsi="Times New Roman" w:cs="Times New Roman"/>
          <w:i/>
          <w:iCs/>
          <w:sz w:val="24"/>
          <w:szCs w:val="24"/>
        </w:rPr>
        <w:t>Deitsch</w:t>
      </w:r>
      <w:r w:rsidRPr="005271F4">
        <w:rPr>
          <w:rFonts w:ascii="Times New Roman" w:hAnsi="Times New Roman" w:cs="Times New Roman"/>
          <w:sz w:val="24"/>
          <w:szCs w:val="24"/>
        </w:rPr>
        <w:t xml:space="preserve">, 237 NY at 304 [same]; </w:t>
      </w:r>
      <w:r w:rsidRPr="005271F4">
        <w:rPr>
          <w:rFonts w:ascii="Times New Roman" w:hAnsi="Times New Roman" w:cs="Times New Roman"/>
          <w:i/>
          <w:iCs/>
          <w:sz w:val="24"/>
          <w:szCs w:val="24"/>
        </w:rPr>
        <w:t>Baccio v People</w:t>
      </w:r>
      <w:r w:rsidR="005271F4">
        <w:rPr>
          <w:rFonts w:ascii="Times New Roman" w:hAnsi="Times New Roman" w:cs="Times New Roman"/>
          <w:sz w:val="24"/>
          <w:szCs w:val="24"/>
        </w:rPr>
        <w:t>, 41 NY 265, 269 [1869] [“</w:t>
      </w:r>
      <w:r w:rsidRPr="005271F4">
        <w:rPr>
          <w:rFonts w:ascii="Times New Roman" w:hAnsi="Times New Roman" w:cs="Times New Roman"/>
          <w:sz w:val="24"/>
          <w:szCs w:val="24"/>
        </w:rPr>
        <w:t>particulars of the complaint</w:t>
      </w:r>
      <w:r w:rsidR="005271F4">
        <w:rPr>
          <w:rFonts w:ascii="Times New Roman" w:hAnsi="Times New Roman" w:cs="Times New Roman"/>
          <w:sz w:val="24"/>
          <w:szCs w:val="24"/>
        </w:rPr>
        <w:t>”</w:t>
      </w:r>
      <w:r w:rsidRPr="005271F4">
        <w:rPr>
          <w:rFonts w:ascii="Times New Roman" w:hAnsi="Times New Roman" w:cs="Times New Roman"/>
          <w:sz w:val="24"/>
          <w:szCs w:val="24"/>
        </w:rPr>
        <w:t xml:space="preserve"> not within the rule].) This limitation, however, does not preclude the potential admissibility of the content of the statement under an exception to the hearsay rule such as the excited utterance exception. (</w:t>
      </w:r>
      <w:r w:rsidRPr="005271F4">
        <w:rPr>
          <w:rFonts w:ascii="Times New Roman" w:hAnsi="Times New Roman" w:cs="Times New Roman"/>
          <w:i/>
          <w:iCs/>
          <w:sz w:val="24"/>
          <w:szCs w:val="24"/>
        </w:rPr>
        <w:t>See People v Brewer</w:t>
      </w:r>
      <w:r w:rsidR="005271F4">
        <w:rPr>
          <w:rFonts w:ascii="Times New Roman" w:hAnsi="Times New Roman" w:cs="Times New Roman"/>
          <w:sz w:val="24"/>
          <w:szCs w:val="24"/>
        </w:rPr>
        <w:t>, 28 NY3d 271, 278 [2016] [“</w:t>
      </w:r>
      <w:r w:rsidRPr="005271F4">
        <w:rPr>
          <w:rFonts w:ascii="Times New Roman" w:hAnsi="Times New Roman" w:cs="Times New Roman"/>
          <w:sz w:val="24"/>
          <w:szCs w:val="24"/>
        </w:rPr>
        <w:t xml:space="preserve">brief account of what </w:t>
      </w:r>
      <w:r w:rsidR="001B6F80">
        <w:rPr>
          <w:rFonts w:ascii="Times New Roman" w:hAnsi="Times New Roman" w:cs="Times New Roman"/>
          <w:sz w:val="24"/>
          <w:szCs w:val="24"/>
        </w:rPr>
        <w:t>(complainant)</w:t>
      </w:r>
      <w:r w:rsidRPr="005271F4">
        <w:rPr>
          <w:rFonts w:ascii="Times New Roman" w:hAnsi="Times New Roman" w:cs="Times New Roman"/>
          <w:sz w:val="24"/>
          <w:szCs w:val="24"/>
        </w:rPr>
        <w:t xml:space="preserve"> told (complainant’s) mother can be viewed as both a prompt outcry and an excited utterance”].)</w:t>
      </w:r>
    </w:p>
    <w:p w14:paraId="576C0273" w14:textId="77777777"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14:paraId="576C0274" w14:textId="77777777"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5271F4">
        <w:rPr>
          <w:rFonts w:ascii="Times New Roman" w:hAnsi="Times New Roman" w:cs="Times New Roman"/>
          <w:sz w:val="24"/>
          <w:szCs w:val="24"/>
        </w:rPr>
        <w:t>While the prompt outcry rule has been developed and applied by the Court of Appeals in criminal sexual offense proceedings, the Court’s rationale for the rule suggests it is equally applicable in other proceedings involving the commission of a sexual assault or offense. The Appellate Division, First Department, has recognized the potential admissibility of prompt outcry evidence at fact-finding hearings in Family Court. (</w:t>
      </w:r>
      <w:r w:rsidRPr="005271F4">
        <w:rPr>
          <w:rFonts w:ascii="Times New Roman" w:hAnsi="Times New Roman" w:cs="Times New Roman"/>
          <w:i/>
          <w:iCs/>
          <w:sz w:val="24"/>
          <w:szCs w:val="24"/>
        </w:rPr>
        <w:t>Matter of Dandre H.</w:t>
      </w:r>
      <w:r w:rsidRPr="005271F4">
        <w:rPr>
          <w:rFonts w:ascii="Times New Roman" w:hAnsi="Times New Roman" w:cs="Times New Roman"/>
          <w:sz w:val="24"/>
          <w:szCs w:val="24"/>
        </w:rPr>
        <w:t xml:space="preserve">, 89 AD3d 553 [1st Dept 2011]; </w:t>
      </w:r>
      <w:r w:rsidRPr="005271F4">
        <w:rPr>
          <w:rFonts w:ascii="Times New Roman" w:hAnsi="Times New Roman" w:cs="Times New Roman"/>
          <w:i/>
          <w:iCs/>
          <w:sz w:val="24"/>
          <w:szCs w:val="24"/>
        </w:rPr>
        <w:t>Matter of Brown v Simon</w:t>
      </w:r>
      <w:r w:rsidRPr="005271F4">
        <w:rPr>
          <w:rFonts w:ascii="Times New Roman" w:hAnsi="Times New Roman" w:cs="Times New Roman"/>
          <w:sz w:val="24"/>
          <w:szCs w:val="24"/>
        </w:rPr>
        <w:t>, 123 AD3d 1120, 1121 [2d Dept 2014].) The Appellate Division, First Department, has also held in a malicious prosecution action commenced by the plaintiff after he was found not guilty of the crime of rape that the prompt outcries of the victim were admissible to corroborate her testimony that an assault had taken place. (</w:t>
      </w:r>
      <w:r w:rsidRPr="005271F4">
        <w:rPr>
          <w:rFonts w:ascii="Times New Roman" w:hAnsi="Times New Roman" w:cs="Times New Roman"/>
          <w:i/>
          <w:iCs/>
          <w:sz w:val="24"/>
          <w:szCs w:val="24"/>
        </w:rPr>
        <w:t>Moorhouse v Standard, N.Y.</w:t>
      </w:r>
      <w:r w:rsidRPr="005271F4">
        <w:rPr>
          <w:rFonts w:ascii="Times New Roman" w:hAnsi="Times New Roman" w:cs="Times New Roman"/>
          <w:sz w:val="24"/>
          <w:szCs w:val="24"/>
        </w:rPr>
        <w:t>, 124 AD3d 1, 5-6 [1st Dept 2014].)</w:t>
      </w:r>
    </w:p>
    <w:p w14:paraId="576C0275" w14:textId="77777777"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14:paraId="576C0276" w14:textId="77777777"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5271F4">
        <w:rPr>
          <w:rFonts w:ascii="Times New Roman" w:hAnsi="Times New Roman" w:cs="Times New Roman"/>
          <w:sz w:val="24"/>
          <w:szCs w:val="24"/>
        </w:rPr>
        <w:t>The Court of Appeals has held that a</w:t>
      </w:r>
      <w:r w:rsidRPr="005271F4">
        <w:rPr>
          <w:rFonts w:ascii="Times New Roman" w:hAnsi="Times New Roman" w:cs="Times New Roman"/>
          <w:color w:val="212121"/>
          <w:sz w:val="24"/>
          <w:szCs w:val="24"/>
        </w:rPr>
        <w:t xml:space="preserve"> child's belated report of sexual abuse by the defendant, which was testified to by the child as well as by two relatives, was proper</w:t>
      </w:r>
      <w:r w:rsidR="005271F4">
        <w:rPr>
          <w:rFonts w:ascii="Times New Roman" w:hAnsi="Times New Roman" w:cs="Times New Roman"/>
          <w:color w:val="212121"/>
          <w:sz w:val="24"/>
          <w:szCs w:val="24"/>
        </w:rPr>
        <w:t>ly admitted for the purpose of “</w:t>
      </w:r>
      <w:r w:rsidRPr="005271F4">
        <w:rPr>
          <w:rFonts w:ascii="Times New Roman" w:hAnsi="Times New Roman" w:cs="Times New Roman"/>
          <w:color w:val="212121"/>
          <w:sz w:val="24"/>
          <w:szCs w:val="24"/>
        </w:rPr>
        <w:t xml:space="preserve">explaining the investigative process and completing the narrative of events leading to the </w:t>
      </w:r>
      <w:r w:rsidR="005271F4">
        <w:rPr>
          <w:rFonts w:ascii="Times New Roman" w:hAnsi="Times New Roman" w:cs="Times New Roman"/>
          <w:color w:val="212121"/>
          <w:sz w:val="24"/>
          <w:szCs w:val="24"/>
        </w:rPr>
        <w:t>defendant’</w:t>
      </w:r>
      <w:r w:rsidRPr="005271F4">
        <w:rPr>
          <w:rFonts w:ascii="Times New Roman" w:hAnsi="Times New Roman" w:cs="Times New Roman"/>
          <w:color w:val="212121"/>
          <w:sz w:val="24"/>
          <w:szCs w:val="24"/>
        </w:rPr>
        <w:t>s arrest.</w:t>
      </w:r>
      <w:r w:rsidR="005271F4">
        <w:rPr>
          <w:rFonts w:ascii="Times New Roman" w:hAnsi="Times New Roman" w:cs="Times New Roman"/>
          <w:color w:val="212121"/>
          <w:sz w:val="24"/>
          <w:szCs w:val="24"/>
        </w:rPr>
        <w:t>”</w:t>
      </w:r>
      <w:r w:rsidRPr="005271F4">
        <w:rPr>
          <w:rFonts w:ascii="Times New Roman" w:hAnsi="Times New Roman" w:cs="Times New Roman"/>
          <w:color w:val="212121"/>
          <w:sz w:val="24"/>
          <w:szCs w:val="24"/>
        </w:rPr>
        <w:t xml:space="preserve"> (</w:t>
      </w:r>
      <w:r w:rsidRPr="005271F4">
        <w:rPr>
          <w:rFonts w:ascii="Times New Roman" w:hAnsi="Times New Roman" w:cs="Times New Roman"/>
          <w:i/>
          <w:iCs/>
          <w:color w:val="212121"/>
          <w:sz w:val="24"/>
          <w:szCs w:val="24"/>
        </w:rPr>
        <w:t>See People v Ludwig</w:t>
      </w:r>
      <w:r w:rsidRPr="005271F4">
        <w:rPr>
          <w:rFonts w:ascii="Times New Roman" w:hAnsi="Times New Roman" w:cs="Times New Roman"/>
          <w:color w:val="212121"/>
          <w:sz w:val="24"/>
          <w:szCs w:val="24"/>
        </w:rPr>
        <w:t xml:space="preserve">, 24 NY3d 221, 230-234 [2014]; </w:t>
      </w:r>
      <w:r w:rsidRPr="005271F4">
        <w:rPr>
          <w:rFonts w:ascii="Times New Roman" w:hAnsi="Times New Roman" w:cs="Times New Roman"/>
          <w:i/>
          <w:iCs/>
          <w:color w:val="212121"/>
          <w:sz w:val="24"/>
          <w:szCs w:val="24"/>
        </w:rPr>
        <w:t>People v Cullen</w:t>
      </w:r>
      <w:r w:rsidRPr="005271F4">
        <w:rPr>
          <w:rFonts w:ascii="Times New Roman" w:hAnsi="Times New Roman" w:cs="Times New Roman"/>
          <w:color w:val="212121"/>
          <w:sz w:val="24"/>
          <w:szCs w:val="24"/>
        </w:rPr>
        <w:t>, 24 NY3d 1014, 1016 [2014].)</w:t>
      </w:r>
    </w:p>
    <w:sectPr w:rsidR="005F58FC" w:rsidRPr="005271F4" w:rsidSect="005271F4">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0279" w14:textId="77777777" w:rsidR="00966423" w:rsidRDefault="00966423" w:rsidP="00966423">
      <w:r>
        <w:separator/>
      </w:r>
    </w:p>
  </w:endnote>
  <w:endnote w:type="continuationSeparator" w:id="0">
    <w:p w14:paraId="576C027A" w14:textId="77777777" w:rsidR="00966423" w:rsidRDefault="00966423" w:rsidP="009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498739"/>
      <w:docPartObj>
        <w:docPartGallery w:val="Page Numbers (Bottom of Page)"/>
        <w:docPartUnique/>
      </w:docPartObj>
    </w:sdtPr>
    <w:sdtEndPr>
      <w:rPr>
        <w:noProof/>
      </w:rPr>
    </w:sdtEndPr>
    <w:sdtContent>
      <w:p w14:paraId="576C027B" w14:textId="77777777" w:rsidR="00966423" w:rsidRDefault="009664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6C027C" w14:textId="77777777" w:rsidR="00966423" w:rsidRDefault="00966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0277" w14:textId="77777777" w:rsidR="00966423" w:rsidRDefault="00966423" w:rsidP="00966423">
      <w:r>
        <w:separator/>
      </w:r>
    </w:p>
  </w:footnote>
  <w:footnote w:type="continuationSeparator" w:id="0">
    <w:p w14:paraId="576C0278" w14:textId="77777777" w:rsidR="00966423" w:rsidRDefault="00966423" w:rsidP="0096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5097"/>
    <w:multiLevelType w:val="multilevel"/>
    <w:tmpl w:val="C5E2F93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64188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F4"/>
    <w:rsid w:val="001B6F80"/>
    <w:rsid w:val="002F64D0"/>
    <w:rsid w:val="005271F4"/>
    <w:rsid w:val="005F58FC"/>
    <w:rsid w:val="00966423"/>
    <w:rsid w:val="009F0CF9"/>
    <w:rsid w:val="00A645B1"/>
    <w:rsid w:val="00F0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C0263"/>
  <w14:defaultImageDpi w14:val="0"/>
  <w15:docId w15:val="{A04954F3-C674-48B8-BF3C-D5788904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1154" w:hanging="434"/>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styleId="Header">
    <w:name w:val="header"/>
    <w:basedOn w:val="Normal"/>
    <w:link w:val="HeaderChar"/>
    <w:uiPriority w:val="99"/>
    <w:unhideWhenUsed/>
    <w:rsid w:val="00966423"/>
    <w:pPr>
      <w:tabs>
        <w:tab w:val="center" w:pos="4680"/>
        <w:tab w:val="right" w:pos="9360"/>
      </w:tabs>
    </w:pPr>
  </w:style>
  <w:style w:type="character" w:customStyle="1" w:styleId="HeaderChar">
    <w:name w:val="Header Char"/>
    <w:basedOn w:val="DefaultParagraphFont"/>
    <w:link w:val="Header"/>
    <w:uiPriority w:val="99"/>
    <w:rsid w:val="00966423"/>
    <w:rPr>
      <w:rFonts w:ascii="Times New Roman" w:hAnsi="Times New Roman"/>
      <w:sz w:val="20"/>
      <w:szCs w:val="20"/>
    </w:rPr>
  </w:style>
  <w:style w:type="paragraph" w:styleId="Footer">
    <w:name w:val="footer"/>
    <w:basedOn w:val="Normal"/>
    <w:link w:val="FooterChar"/>
    <w:uiPriority w:val="99"/>
    <w:unhideWhenUsed/>
    <w:rsid w:val="00966423"/>
    <w:pPr>
      <w:tabs>
        <w:tab w:val="center" w:pos="4680"/>
        <w:tab w:val="right" w:pos="9360"/>
      </w:tabs>
    </w:pPr>
  </w:style>
  <w:style w:type="character" w:customStyle="1" w:styleId="FooterChar">
    <w:name w:val="Footer Char"/>
    <w:basedOn w:val="DefaultParagraphFont"/>
    <w:link w:val="Footer"/>
    <w:uiPriority w:val="99"/>
    <w:rsid w:val="0096642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3385</Characters>
  <Application>Microsoft Office Word</Application>
  <DocSecurity>0</DocSecurity>
  <Lines>70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5</cp:revision>
  <cp:lastPrinted>2024-01-19T20:34:00Z</cp:lastPrinted>
  <dcterms:created xsi:type="dcterms:W3CDTF">2017-05-30T17:08:00Z</dcterms:created>
  <dcterms:modified xsi:type="dcterms:W3CDTF">2024-01-19T20:34:00Z</dcterms:modified>
</cp:coreProperties>
</file>