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ED" w:rsidRPr="001C0DED" w:rsidRDefault="00F518F1" w:rsidP="001C0DED">
      <w:pPr>
        <w:pStyle w:val="NoSpacing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1C0DED">
        <w:rPr>
          <w:rFonts w:ascii="Times New Roman" w:hAnsi="Times New Roman" w:cs="Times New Roman"/>
          <w:sz w:val="28"/>
          <w:szCs w:val="28"/>
          <w:lang w:val="en-CA"/>
        </w:rPr>
        <w:fldChar w:fldCharType="begin"/>
      </w:r>
      <w:r w:rsidRPr="001C0DED">
        <w:rPr>
          <w:rFonts w:ascii="Times New Roman" w:hAnsi="Times New Roman" w:cs="Times New Roman"/>
          <w:sz w:val="28"/>
          <w:szCs w:val="28"/>
          <w:lang w:val="en-CA"/>
        </w:rPr>
        <w:instrText xml:space="preserve"> SEQ CHAPTER \h \r 1</w:instrText>
      </w:r>
      <w:r w:rsidRPr="001C0DED">
        <w:rPr>
          <w:rFonts w:ascii="Times New Roman" w:hAnsi="Times New Roman" w:cs="Times New Roman"/>
          <w:sz w:val="28"/>
          <w:szCs w:val="28"/>
          <w:lang w:val="en-CA"/>
        </w:rPr>
        <w:fldChar w:fldCharType="end"/>
      </w:r>
      <w:r w:rsidRPr="001C0DED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AA5944"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="001C0DED" w:rsidRPr="001C0DE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C0DED">
        <w:rPr>
          <w:rFonts w:ascii="Times New Roman" w:hAnsi="Times New Roman" w:cs="Times New Roman"/>
          <w:sz w:val="28"/>
          <w:szCs w:val="28"/>
        </w:rPr>
        <w:t xml:space="preserve"> </w:t>
      </w:r>
      <w:r w:rsidRPr="001C0DED">
        <w:rPr>
          <w:rFonts w:ascii="Times New Roman" w:hAnsi="Times New Roman" w:cs="Times New Roman"/>
          <w:b/>
          <w:bCs/>
          <w:sz w:val="28"/>
          <w:szCs w:val="28"/>
        </w:rPr>
        <w:t>State of Mind</w:t>
      </w:r>
    </w:p>
    <w:p w:rsidR="001C0DED" w:rsidRPr="001C0DED" w:rsidRDefault="001C0DED" w:rsidP="001C0DED">
      <w:pPr>
        <w:pStyle w:val="NoSpacing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518F1" w:rsidRPr="001C0DED" w:rsidRDefault="001C0DED" w:rsidP="00D36035">
      <w:pPr>
        <w:pStyle w:val="NoSpacing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right="720"/>
        <w:rPr>
          <w:rFonts w:ascii="Times New Roman" w:hAnsi="Times New Roman" w:cs="Times New Roman"/>
          <w:b/>
          <w:bCs/>
          <w:sz w:val="28"/>
          <w:szCs w:val="28"/>
        </w:rPr>
      </w:pPr>
      <w:r w:rsidRPr="001C0DED">
        <w:rPr>
          <w:rFonts w:ascii="Times New Roman" w:hAnsi="Times New Roman" w:cs="Times New Roman"/>
          <w:b/>
          <w:bCs/>
          <w:sz w:val="28"/>
          <w:szCs w:val="28"/>
        </w:rPr>
        <w:t>(1)</w:t>
      </w:r>
      <w:r w:rsidR="00F518F1" w:rsidRPr="001C0DED">
        <w:rPr>
          <w:rFonts w:ascii="Times New Roman" w:hAnsi="Times New Roman" w:cs="Times New Roman"/>
          <w:b/>
          <w:bCs/>
          <w:sz w:val="28"/>
          <w:szCs w:val="28"/>
        </w:rPr>
        <w:t xml:space="preserve"> An out-of-court statement by a declarant describing the declarant’s state of mind at the time the statement was made, such as intent, plan, motive, design, or mental condition and feeling, but not including a statement of memory or belief to prove the fact remembered or believed</w:t>
      </w:r>
      <w:r w:rsidR="00CC1D3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518F1" w:rsidRPr="001C0DED">
        <w:rPr>
          <w:rFonts w:ascii="Times New Roman" w:hAnsi="Times New Roman" w:cs="Times New Roman"/>
          <w:b/>
          <w:bCs/>
          <w:sz w:val="28"/>
          <w:szCs w:val="28"/>
        </w:rPr>
        <w:t xml:space="preserve"> is admissible, even though the declarant is available as a witness.</w:t>
      </w:r>
    </w:p>
    <w:p w:rsidR="00F518F1" w:rsidRPr="001C0DED" w:rsidRDefault="00F518F1" w:rsidP="00D36035">
      <w:pPr>
        <w:pStyle w:val="NoSpacing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righ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518F1" w:rsidRDefault="001C0DED" w:rsidP="00D36035">
      <w:pPr>
        <w:pStyle w:val="Level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720"/>
        <w:jc w:val="both"/>
        <w:rPr>
          <w:b/>
          <w:bCs/>
          <w:sz w:val="28"/>
          <w:szCs w:val="28"/>
        </w:rPr>
      </w:pPr>
      <w:r w:rsidRPr="001C0DED">
        <w:rPr>
          <w:b/>
          <w:bCs/>
          <w:sz w:val="28"/>
          <w:szCs w:val="28"/>
        </w:rPr>
        <w:t>(2)</w:t>
      </w:r>
      <w:r w:rsidR="00F518F1" w:rsidRPr="001C0DED">
        <w:rPr>
          <w:b/>
          <w:bCs/>
          <w:sz w:val="28"/>
          <w:szCs w:val="28"/>
        </w:rPr>
        <w:t xml:space="preserve"> An out-of-court statement by a declarant describing the declarant’s physical condition at the time the statement is made is admissible provided the declarant is unavailable at the time of the proceeding.</w:t>
      </w:r>
    </w:p>
    <w:p w:rsidR="001C0DED" w:rsidRPr="001C0DED" w:rsidRDefault="001C0DED" w:rsidP="00D36035">
      <w:pPr>
        <w:pStyle w:val="Level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720"/>
        <w:rPr>
          <w:b/>
          <w:bCs/>
          <w:sz w:val="28"/>
          <w:szCs w:val="28"/>
        </w:rPr>
      </w:pPr>
    </w:p>
    <w:p w:rsidR="00F518F1" w:rsidRPr="001C0DED" w:rsidRDefault="00F518F1" w:rsidP="001C0DED">
      <w:pPr>
        <w:pStyle w:val="NoSpacing"/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9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DED">
        <w:rPr>
          <w:rFonts w:ascii="Times New Roman" w:hAnsi="Times New Roman" w:cs="Times New Roman"/>
          <w:b/>
          <w:bCs/>
          <w:sz w:val="24"/>
          <w:szCs w:val="24"/>
        </w:rPr>
        <w:t>Note</w:t>
      </w:r>
    </w:p>
    <w:p w:rsidR="00F518F1" w:rsidRPr="001C0DED" w:rsidRDefault="00F518F1" w:rsidP="001C0DED">
      <w:pPr>
        <w:pStyle w:val="NoSpacing"/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9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518F1" w:rsidRDefault="00F518F1" w:rsidP="001C0DED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98"/>
        </w:tabs>
        <w:jc w:val="both"/>
        <w:rPr>
          <w:sz w:val="24"/>
          <w:szCs w:val="24"/>
        </w:rPr>
      </w:pPr>
      <w:r w:rsidRPr="001C0DED">
        <w:rPr>
          <w:sz w:val="24"/>
          <w:szCs w:val="24"/>
        </w:rPr>
        <w:tab/>
      </w:r>
      <w:r w:rsidRPr="001C0DED">
        <w:rPr>
          <w:b/>
          <w:bCs/>
          <w:sz w:val="24"/>
          <w:szCs w:val="24"/>
        </w:rPr>
        <w:t xml:space="preserve">Subdivision (1) </w:t>
      </w:r>
      <w:r w:rsidRPr="001C0DED">
        <w:rPr>
          <w:sz w:val="24"/>
          <w:szCs w:val="24"/>
        </w:rPr>
        <w:t>is derived from several Court of Appeals decisions that recognize this exception (</w:t>
      </w:r>
      <w:r w:rsidRPr="001C0DED">
        <w:rPr>
          <w:i/>
          <w:iCs/>
          <w:sz w:val="24"/>
          <w:szCs w:val="24"/>
        </w:rPr>
        <w:t>see e.g. People v Reynoso</w:t>
      </w:r>
      <w:r w:rsidRPr="001C0DED">
        <w:rPr>
          <w:sz w:val="24"/>
          <w:szCs w:val="24"/>
        </w:rPr>
        <w:t xml:space="preserve">, 73 NY2d 816, 819 [1988] [“While </w:t>
      </w:r>
      <w:r w:rsidRPr="001C0DED">
        <w:rPr>
          <w:color w:val="212121"/>
          <w:sz w:val="24"/>
          <w:szCs w:val="24"/>
        </w:rPr>
        <w:t>such declarations may be received to show the declarant</w:t>
      </w:r>
      <w:r w:rsidR="00B67C23">
        <w:rPr>
          <w:color w:val="212121"/>
          <w:sz w:val="24"/>
          <w:szCs w:val="24"/>
        </w:rPr>
        <w:t>’</w:t>
      </w:r>
      <w:r w:rsidRPr="001C0DED">
        <w:rPr>
          <w:color w:val="212121"/>
          <w:sz w:val="24"/>
          <w:szCs w:val="24"/>
        </w:rPr>
        <w:t xml:space="preserve">s state of mind at the time the statement was made, they are not admissible to establish the truth of past facts contained in them,” </w:t>
      </w:r>
      <w:r w:rsidRPr="001C0DED">
        <w:rPr>
          <w:sz w:val="24"/>
          <w:szCs w:val="24"/>
        </w:rPr>
        <w:t xml:space="preserve">such as a statement to a third party made after a shooting that the defendant believed the victim was armed]; </w:t>
      </w:r>
      <w:r w:rsidRPr="001C0DED">
        <w:rPr>
          <w:i/>
          <w:iCs/>
          <w:sz w:val="24"/>
          <w:szCs w:val="24"/>
        </w:rPr>
        <w:t>Matter of Putnam</w:t>
      </w:r>
      <w:r w:rsidRPr="001C0DED">
        <w:rPr>
          <w:sz w:val="24"/>
          <w:szCs w:val="24"/>
        </w:rPr>
        <w:t xml:space="preserve">, 257 NY 140, 145 [1931] [“mental conditions and feelings”]; </w:t>
      </w:r>
      <w:r w:rsidRPr="001C0DED">
        <w:rPr>
          <w:i/>
          <w:iCs/>
          <w:color w:val="252525"/>
          <w:sz w:val="24"/>
          <w:szCs w:val="24"/>
        </w:rPr>
        <w:t>Schultz v Third Ave. R.R. Co</w:t>
      </w:r>
      <w:r w:rsidRPr="001C0DED">
        <w:rPr>
          <w:color w:val="252525"/>
          <w:sz w:val="24"/>
          <w:szCs w:val="24"/>
        </w:rPr>
        <w:t xml:space="preserve">., 89 NY 242, 248-249 [1882] [feelings of hostility]; </w:t>
      </w:r>
      <w:r w:rsidRPr="001C0DED">
        <w:rPr>
          <w:i/>
          <w:iCs/>
          <w:color w:val="252525"/>
          <w:sz w:val="24"/>
          <w:szCs w:val="24"/>
        </w:rPr>
        <w:t>see also</w:t>
      </w:r>
      <w:r w:rsidRPr="001C0DED">
        <w:rPr>
          <w:color w:val="252525"/>
          <w:sz w:val="24"/>
          <w:szCs w:val="24"/>
        </w:rPr>
        <w:t xml:space="preserve"> </w:t>
      </w:r>
      <w:r w:rsidRPr="001C0DED">
        <w:rPr>
          <w:i/>
          <w:iCs/>
          <w:color w:val="252525"/>
          <w:sz w:val="24"/>
          <w:szCs w:val="24"/>
        </w:rPr>
        <w:t>Hine v New York El. R.R. Co</w:t>
      </w:r>
      <w:r w:rsidRPr="001C0DED">
        <w:rPr>
          <w:color w:val="252525"/>
          <w:sz w:val="24"/>
          <w:szCs w:val="24"/>
        </w:rPr>
        <w:t>.</w:t>
      </w:r>
      <w:r w:rsidRPr="001C0DED">
        <w:rPr>
          <w:sz w:val="24"/>
          <w:szCs w:val="24"/>
        </w:rPr>
        <w:t xml:space="preserve">, 149 NY 154, 162 [1896] [statement as to motive admitted as part of res gestae]). </w:t>
      </w:r>
    </w:p>
    <w:p w:rsidR="001C0DED" w:rsidRPr="001C0DED" w:rsidRDefault="001C0DED" w:rsidP="001C0DED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98"/>
        </w:tabs>
        <w:jc w:val="both"/>
        <w:rPr>
          <w:sz w:val="24"/>
          <w:szCs w:val="24"/>
        </w:rPr>
      </w:pPr>
    </w:p>
    <w:p w:rsidR="00F518F1" w:rsidRDefault="001C0DED" w:rsidP="001C0DED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9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518F1" w:rsidRPr="001C0DED">
        <w:rPr>
          <w:sz w:val="24"/>
          <w:szCs w:val="24"/>
        </w:rPr>
        <w:t xml:space="preserve">The exception for “memory or belief,” initially recognized in </w:t>
      </w:r>
      <w:r w:rsidR="00F518F1" w:rsidRPr="001C0DED">
        <w:rPr>
          <w:i/>
          <w:iCs/>
          <w:sz w:val="24"/>
          <w:szCs w:val="24"/>
        </w:rPr>
        <w:t>Shepard v United States</w:t>
      </w:r>
      <w:r w:rsidR="00F518F1" w:rsidRPr="001C0DED">
        <w:rPr>
          <w:sz w:val="24"/>
          <w:szCs w:val="24"/>
        </w:rPr>
        <w:t xml:space="preserve"> (290 US 96 [1933, Cardozo, J.]), has been consistently recognized by the Court of Appeals (</w:t>
      </w:r>
      <w:r w:rsidR="00F518F1" w:rsidRPr="001C0DED">
        <w:rPr>
          <w:i/>
          <w:iCs/>
          <w:sz w:val="24"/>
          <w:szCs w:val="24"/>
        </w:rPr>
        <w:t>see People v Vasquez</w:t>
      </w:r>
      <w:r w:rsidR="00F518F1" w:rsidRPr="001C0DED">
        <w:rPr>
          <w:sz w:val="24"/>
          <w:szCs w:val="24"/>
        </w:rPr>
        <w:t xml:space="preserve">, 88 NY2d 561, 580 [1996]; </w:t>
      </w:r>
      <w:r w:rsidR="00F518F1" w:rsidRPr="001C0DED">
        <w:rPr>
          <w:i/>
          <w:iCs/>
          <w:sz w:val="24"/>
          <w:szCs w:val="24"/>
        </w:rPr>
        <w:t>Reynoso</w:t>
      </w:r>
      <w:r w:rsidR="00F518F1" w:rsidRPr="001C0DED">
        <w:rPr>
          <w:sz w:val="24"/>
          <w:szCs w:val="24"/>
        </w:rPr>
        <w:t>, 73 NY2d at 819).</w:t>
      </w:r>
    </w:p>
    <w:p w:rsidR="001C0DED" w:rsidRPr="001C0DED" w:rsidRDefault="001C0DED" w:rsidP="001C0DED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98"/>
        </w:tabs>
        <w:jc w:val="both"/>
        <w:rPr>
          <w:sz w:val="24"/>
          <w:szCs w:val="24"/>
        </w:rPr>
      </w:pPr>
    </w:p>
    <w:p w:rsidR="00F518F1" w:rsidRDefault="001C0DED" w:rsidP="001C0DED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9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518F1" w:rsidRPr="001C0DED">
        <w:rPr>
          <w:sz w:val="24"/>
          <w:szCs w:val="24"/>
        </w:rPr>
        <w:t>Statements regarding the declarant’s present pain or then-existing physical condition are not within the exception set forth in subdivision (1) (</w:t>
      </w:r>
      <w:r w:rsidR="00F518F1" w:rsidRPr="001C0DED">
        <w:rPr>
          <w:i/>
          <w:iCs/>
          <w:sz w:val="24"/>
          <w:szCs w:val="24"/>
        </w:rPr>
        <w:t>see Davidson v Cornell</w:t>
      </w:r>
      <w:r w:rsidR="00F518F1" w:rsidRPr="001C0DED">
        <w:rPr>
          <w:sz w:val="24"/>
          <w:szCs w:val="24"/>
        </w:rPr>
        <w:t xml:space="preserve">, 132 NY 228 [1892]; </w:t>
      </w:r>
      <w:r w:rsidR="00F518F1" w:rsidRPr="001C0DED">
        <w:rPr>
          <w:i/>
          <w:iCs/>
          <w:color w:val="252525"/>
          <w:sz w:val="24"/>
          <w:szCs w:val="24"/>
        </w:rPr>
        <w:t>Roche v Brooklyn City &amp; Newtown R.R. Co.</w:t>
      </w:r>
      <w:r w:rsidR="00F518F1" w:rsidRPr="001C0DED">
        <w:rPr>
          <w:color w:val="252525"/>
          <w:sz w:val="24"/>
          <w:szCs w:val="24"/>
        </w:rPr>
        <w:t>, 105 NY 294 [1887]).</w:t>
      </w:r>
      <w:r w:rsidR="00F518F1" w:rsidRPr="001C0DED">
        <w:rPr>
          <w:sz w:val="24"/>
          <w:szCs w:val="24"/>
        </w:rPr>
        <w:t xml:space="preserve"> See subdivision </w:t>
      </w:r>
      <w:r w:rsidR="00DB1833">
        <w:rPr>
          <w:sz w:val="24"/>
          <w:szCs w:val="24"/>
        </w:rPr>
        <w:t>(2)</w:t>
      </w:r>
      <w:r w:rsidR="00F518F1" w:rsidRPr="001C0DED">
        <w:rPr>
          <w:sz w:val="24"/>
          <w:szCs w:val="24"/>
        </w:rPr>
        <w:t xml:space="preserve"> and the </w:t>
      </w:r>
      <w:r w:rsidR="00DB1833">
        <w:rPr>
          <w:sz w:val="24"/>
          <w:szCs w:val="24"/>
        </w:rPr>
        <w:t>N</w:t>
      </w:r>
      <w:r w:rsidR="00F518F1" w:rsidRPr="001C0DED">
        <w:rPr>
          <w:sz w:val="24"/>
          <w:szCs w:val="24"/>
        </w:rPr>
        <w:t>ote thereto.</w:t>
      </w:r>
    </w:p>
    <w:p w:rsidR="001C0DED" w:rsidRPr="001C0DED" w:rsidRDefault="001C0DED" w:rsidP="001C0DED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98"/>
        </w:tabs>
        <w:jc w:val="both"/>
        <w:rPr>
          <w:sz w:val="24"/>
          <w:szCs w:val="24"/>
        </w:rPr>
      </w:pPr>
    </w:p>
    <w:p w:rsidR="00F518F1" w:rsidRDefault="001C0DED" w:rsidP="001C0DED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9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518F1" w:rsidRPr="001C0DED">
        <w:rPr>
          <w:sz w:val="24"/>
          <w:szCs w:val="24"/>
        </w:rPr>
        <w:t>For the rules governing a statement of future intent, see Guide to New York Evidence rule 8.42.</w:t>
      </w:r>
    </w:p>
    <w:p w:rsidR="001C0DED" w:rsidRPr="001C0DED" w:rsidRDefault="001C0DED" w:rsidP="001C0DED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98"/>
        </w:tabs>
        <w:jc w:val="both"/>
        <w:rPr>
          <w:sz w:val="24"/>
          <w:szCs w:val="24"/>
        </w:rPr>
      </w:pPr>
    </w:p>
    <w:p w:rsidR="00F518F1" w:rsidRDefault="001C0DED" w:rsidP="001C0DED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98"/>
        </w:tabs>
        <w:jc w:val="both"/>
        <w:rPr>
          <w:color w:val="252525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 w:rsidR="00F518F1" w:rsidRPr="001C0DED">
        <w:rPr>
          <w:b/>
          <w:bCs/>
          <w:sz w:val="24"/>
          <w:szCs w:val="24"/>
        </w:rPr>
        <w:t>Subdivision (2</w:t>
      </w:r>
      <w:r w:rsidR="00F518F1" w:rsidRPr="001C0DED">
        <w:rPr>
          <w:sz w:val="24"/>
          <w:szCs w:val="24"/>
        </w:rPr>
        <w:t xml:space="preserve">) is derived from </w:t>
      </w:r>
      <w:proofErr w:type="spellStart"/>
      <w:r w:rsidR="00F518F1" w:rsidRPr="001C0DED">
        <w:rPr>
          <w:i/>
          <w:iCs/>
          <w:color w:val="252525"/>
          <w:sz w:val="24"/>
          <w:szCs w:val="24"/>
        </w:rPr>
        <w:t>Tromblee</w:t>
      </w:r>
      <w:proofErr w:type="spellEnd"/>
      <w:r w:rsidR="00F518F1" w:rsidRPr="001C0DED">
        <w:rPr>
          <w:i/>
          <w:iCs/>
          <w:color w:val="252525"/>
          <w:sz w:val="24"/>
          <w:szCs w:val="24"/>
        </w:rPr>
        <w:t xml:space="preserve"> v North Am. Acc. Ins. Co</w:t>
      </w:r>
      <w:r w:rsidR="00F518F1" w:rsidRPr="001C0DED">
        <w:rPr>
          <w:color w:val="252525"/>
          <w:sz w:val="24"/>
          <w:szCs w:val="24"/>
        </w:rPr>
        <w:t xml:space="preserve">. (173 App </w:t>
      </w:r>
      <w:proofErr w:type="spellStart"/>
      <w:r w:rsidR="00F518F1" w:rsidRPr="001C0DED">
        <w:rPr>
          <w:color w:val="252525"/>
          <w:sz w:val="24"/>
          <w:szCs w:val="24"/>
        </w:rPr>
        <w:t>Div</w:t>
      </w:r>
      <w:proofErr w:type="spellEnd"/>
      <w:r w:rsidR="00F518F1" w:rsidRPr="001C0DED">
        <w:rPr>
          <w:color w:val="252525"/>
          <w:sz w:val="24"/>
          <w:szCs w:val="24"/>
        </w:rPr>
        <w:t xml:space="preserve"> 174, 176 [3d </w:t>
      </w:r>
      <w:proofErr w:type="spellStart"/>
      <w:r w:rsidR="00F518F1" w:rsidRPr="001C0DED">
        <w:rPr>
          <w:color w:val="252525"/>
          <w:sz w:val="24"/>
          <w:szCs w:val="24"/>
        </w:rPr>
        <w:t>Dept</w:t>
      </w:r>
      <w:proofErr w:type="spellEnd"/>
      <w:r w:rsidR="00F518F1" w:rsidRPr="001C0DED">
        <w:rPr>
          <w:color w:val="252525"/>
          <w:sz w:val="24"/>
          <w:szCs w:val="24"/>
        </w:rPr>
        <w:t xml:space="preserve"> 1916], </w:t>
      </w:r>
      <w:proofErr w:type="spellStart"/>
      <w:r w:rsidR="00F518F1" w:rsidRPr="001C0DED">
        <w:rPr>
          <w:i/>
          <w:iCs/>
          <w:color w:val="252525"/>
          <w:sz w:val="24"/>
          <w:szCs w:val="24"/>
        </w:rPr>
        <w:t>affd</w:t>
      </w:r>
      <w:proofErr w:type="spellEnd"/>
      <w:r w:rsidR="00F518F1" w:rsidRPr="001C0DED">
        <w:rPr>
          <w:color w:val="252525"/>
          <w:sz w:val="24"/>
          <w:szCs w:val="24"/>
        </w:rPr>
        <w:t xml:space="preserve"> 226 NY 615 [1919]), which held that a statement made by a declarant concerning </w:t>
      </w:r>
      <w:r w:rsidR="007355B3">
        <w:rPr>
          <w:color w:val="252525"/>
          <w:sz w:val="24"/>
          <w:szCs w:val="24"/>
        </w:rPr>
        <w:t>the declarant’s</w:t>
      </w:r>
      <w:r w:rsidR="00F518F1" w:rsidRPr="001C0DED">
        <w:rPr>
          <w:color w:val="252525"/>
          <w:sz w:val="24"/>
          <w:szCs w:val="24"/>
        </w:rPr>
        <w:t xml:space="preserve"> present physical condition after an accident was admissible where the declarant was deceased at the time of the trial (</w:t>
      </w:r>
      <w:r w:rsidR="00F518F1" w:rsidRPr="001C0DED">
        <w:rPr>
          <w:i/>
          <w:iCs/>
          <w:color w:val="252525"/>
          <w:sz w:val="24"/>
          <w:szCs w:val="24"/>
        </w:rPr>
        <w:t>but see</w:t>
      </w:r>
      <w:r w:rsidR="00F518F1" w:rsidRPr="001C0DED">
        <w:rPr>
          <w:color w:val="252525"/>
          <w:sz w:val="24"/>
          <w:szCs w:val="24"/>
        </w:rPr>
        <w:t xml:space="preserve"> </w:t>
      </w:r>
      <w:r w:rsidR="00F518F1" w:rsidRPr="001C0DED">
        <w:rPr>
          <w:i/>
          <w:iCs/>
          <w:color w:val="252525"/>
          <w:sz w:val="24"/>
          <w:szCs w:val="24"/>
        </w:rPr>
        <w:t>Crawford v Washington</w:t>
      </w:r>
      <w:r>
        <w:rPr>
          <w:color w:val="252525"/>
          <w:sz w:val="24"/>
          <w:szCs w:val="24"/>
        </w:rPr>
        <w:t>, 541 US 36 [2004]).</w:t>
      </w:r>
    </w:p>
    <w:p w:rsidR="001C0DED" w:rsidRPr="001C0DED" w:rsidRDefault="001C0DED" w:rsidP="001C0DED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98"/>
        </w:tabs>
        <w:jc w:val="both"/>
        <w:rPr>
          <w:color w:val="252525"/>
          <w:sz w:val="24"/>
          <w:szCs w:val="24"/>
        </w:rPr>
      </w:pPr>
    </w:p>
    <w:p w:rsidR="00F518F1" w:rsidRPr="001C0DED" w:rsidRDefault="001C0DED" w:rsidP="001C0DED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9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518F1" w:rsidRPr="001C0DED">
        <w:rPr>
          <w:sz w:val="24"/>
          <w:szCs w:val="24"/>
        </w:rPr>
        <w:t>Such a statement may be admissible, however, even though the declarant is available where the statement is admissible as one made to a health care professional under Guide to New York Evidence rule 8.</w:t>
      </w:r>
      <w:r w:rsidR="00236921">
        <w:rPr>
          <w:sz w:val="24"/>
          <w:szCs w:val="24"/>
        </w:rPr>
        <w:t>43</w:t>
      </w:r>
      <w:r w:rsidR="00F518F1" w:rsidRPr="001C0DED">
        <w:rPr>
          <w:sz w:val="24"/>
          <w:szCs w:val="24"/>
        </w:rPr>
        <w:t xml:space="preserve"> (</w:t>
      </w:r>
      <w:r w:rsidR="00F518F1" w:rsidRPr="001C0DED">
        <w:rPr>
          <w:i/>
          <w:iCs/>
          <w:sz w:val="24"/>
          <w:szCs w:val="24"/>
        </w:rPr>
        <w:t xml:space="preserve">see People v </w:t>
      </w:r>
      <w:proofErr w:type="spellStart"/>
      <w:r w:rsidR="00F518F1" w:rsidRPr="001C0DED">
        <w:rPr>
          <w:i/>
          <w:iCs/>
          <w:sz w:val="24"/>
          <w:szCs w:val="24"/>
        </w:rPr>
        <w:t>Duhs</w:t>
      </w:r>
      <w:proofErr w:type="spellEnd"/>
      <w:r w:rsidR="00F518F1" w:rsidRPr="001C0DED">
        <w:rPr>
          <w:sz w:val="24"/>
          <w:szCs w:val="24"/>
        </w:rPr>
        <w:t>, 16 NY3d 405, 408 [2011]), or the statement is admissible as an excited utterance under rule 8.12 or as a present sense impression under rule 8.15 (</w:t>
      </w:r>
      <w:r w:rsidR="00F518F1" w:rsidRPr="001C0DED">
        <w:rPr>
          <w:i/>
          <w:iCs/>
          <w:sz w:val="24"/>
          <w:szCs w:val="24"/>
        </w:rPr>
        <w:t>see e.g.</w:t>
      </w:r>
      <w:r w:rsidR="00F518F1" w:rsidRPr="001C0DED">
        <w:rPr>
          <w:sz w:val="24"/>
          <w:szCs w:val="24"/>
        </w:rPr>
        <w:t xml:space="preserve"> </w:t>
      </w:r>
      <w:r w:rsidR="00F518F1" w:rsidRPr="001C0DED">
        <w:rPr>
          <w:i/>
          <w:iCs/>
          <w:sz w:val="24"/>
          <w:szCs w:val="24"/>
        </w:rPr>
        <w:t>People v McCray</w:t>
      </w:r>
      <w:r w:rsidR="00F518F1" w:rsidRPr="001C0DED">
        <w:rPr>
          <w:sz w:val="24"/>
          <w:szCs w:val="24"/>
        </w:rPr>
        <w:t xml:space="preserve">, 102 AD3d 1000, 1009 [3d </w:t>
      </w:r>
      <w:proofErr w:type="spellStart"/>
      <w:r w:rsidR="00F518F1" w:rsidRPr="001C0DED">
        <w:rPr>
          <w:sz w:val="24"/>
          <w:szCs w:val="24"/>
        </w:rPr>
        <w:t>Dept</w:t>
      </w:r>
      <w:proofErr w:type="spellEnd"/>
      <w:r w:rsidR="00F518F1" w:rsidRPr="001C0DED">
        <w:rPr>
          <w:sz w:val="24"/>
          <w:szCs w:val="24"/>
        </w:rPr>
        <w:t xml:space="preserve"> 2013]; </w:t>
      </w:r>
      <w:proofErr w:type="spellStart"/>
      <w:r w:rsidR="00F518F1" w:rsidRPr="001C0DED">
        <w:rPr>
          <w:i/>
          <w:iCs/>
          <w:sz w:val="24"/>
          <w:szCs w:val="24"/>
        </w:rPr>
        <w:t>Balzola</w:t>
      </w:r>
      <w:proofErr w:type="spellEnd"/>
      <w:r w:rsidR="00F518F1" w:rsidRPr="001C0DED">
        <w:rPr>
          <w:i/>
          <w:iCs/>
          <w:sz w:val="24"/>
          <w:szCs w:val="24"/>
        </w:rPr>
        <w:t xml:space="preserve"> v Giese</w:t>
      </w:r>
      <w:r w:rsidR="00F518F1" w:rsidRPr="001C0DED">
        <w:rPr>
          <w:sz w:val="24"/>
          <w:szCs w:val="24"/>
        </w:rPr>
        <w:t xml:space="preserve">, 107 AD3d 587 [1st </w:t>
      </w:r>
      <w:proofErr w:type="spellStart"/>
      <w:r w:rsidR="00F518F1" w:rsidRPr="001C0DED">
        <w:rPr>
          <w:sz w:val="24"/>
          <w:szCs w:val="24"/>
        </w:rPr>
        <w:t>Dept</w:t>
      </w:r>
      <w:proofErr w:type="spellEnd"/>
      <w:r w:rsidR="00F518F1" w:rsidRPr="001C0DED">
        <w:rPr>
          <w:sz w:val="24"/>
          <w:szCs w:val="24"/>
        </w:rPr>
        <w:t xml:space="preserve"> 2013]; </w:t>
      </w:r>
      <w:proofErr w:type="spellStart"/>
      <w:r w:rsidR="00F518F1" w:rsidRPr="001C0DED">
        <w:rPr>
          <w:i/>
          <w:iCs/>
          <w:sz w:val="24"/>
          <w:szCs w:val="24"/>
        </w:rPr>
        <w:t>Hyung</w:t>
      </w:r>
      <w:proofErr w:type="spellEnd"/>
      <w:r w:rsidR="00F518F1" w:rsidRPr="001C0DED">
        <w:rPr>
          <w:i/>
          <w:iCs/>
          <w:sz w:val="24"/>
          <w:szCs w:val="24"/>
        </w:rPr>
        <w:t xml:space="preserve"> </w:t>
      </w:r>
      <w:proofErr w:type="spellStart"/>
      <w:r w:rsidR="00F518F1" w:rsidRPr="001C0DED">
        <w:rPr>
          <w:i/>
          <w:iCs/>
          <w:sz w:val="24"/>
          <w:szCs w:val="24"/>
        </w:rPr>
        <w:t>Kee</w:t>
      </w:r>
      <w:proofErr w:type="spellEnd"/>
      <w:r w:rsidR="00F518F1" w:rsidRPr="001C0DED">
        <w:rPr>
          <w:i/>
          <w:iCs/>
          <w:sz w:val="24"/>
          <w:szCs w:val="24"/>
        </w:rPr>
        <w:t xml:space="preserve"> Lee v New York Hosp. Queens</w:t>
      </w:r>
      <w:r w:rsidR="00F518F1" w:rsidRPr="001C0DED">
        <w:rPr>
          <w:sz w:val="24"/>
          <w:szCs w:val="24"/>
        </w:rPr>
        <w:t xml:space="preserve">, 118 AD3d 750 [2d </w:t>
      </w:r>
      <w:proofErr w:type="spellStart"/>
      <w:r w:rsidR="00F518F1" w:rsidRPr="001C0DED">
        <w:rPr>
          <w:sz w:val="24"/>
          <w:szCs w:val="24"/>
        </w:rPr>
        <w:t>Dept</w:t>
      </w:r>
      <w:proofErr w:type="spellEnd"/>
      <w:r w:rsidR="00F518F1" w:rsidRPr="001C0DED">
        <w:rPr>
          <w:sz w:val="24"/>
          <w:szCs w:val="24"/>
        </w:rPr>
        <w:t xml:space="preserve"> 2014]). </w:t>
      </w:r>
    </w:p>
    <w:sectPr w:rsidR="00F518F1" w:rsidRPr="001C0DED" w:rsidSect="001C0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2160" w:bottom="1440" w:left="216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921" w:rsidRDefault="00236921" w:rsidP="00236921">
      <w:r>
        <w:separator/>
      </w:r>
    </w:p>
  </w:endnote>
  <w:endnote w:type="continuationSeparator" w:id="0">
    <w:p w:rsidR="00236921" w:rsidRDefault="00236921" w:rsidP="0023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921" w:rsidRDefault="00236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95345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236921" w:rsidRDefault="002369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6921" w:rsidRDefault="002369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921" w:rsidRDefault="00236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921" w:rsidRDefault="00236921" w:rsidP="00236921">
      <w:r>
        <w:separator/>
      </w:r>
    </w:p>
  </w:footnote>
  <w:footnote w:type="continuationSeparator" w:id="0">
    <w:p w:rsidR="00236921" w:rsidRDefault="00236921" w:rsidP="00236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921" w:rsidRDefault="002369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921" w:rsidRDefault="002369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921" w:rsidRDefault="002369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40914"/>
    <w:multiLevelType w:val="multilevel"/>
    <w:tmpl w:val="4BE06394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0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ED"/>
    <w:rsid w:val="001C0DED"/>
    <w:rsid w:val="00236921"/>
    <w:rsid w:val="004F73C6"/>
    <w:rsid w:val="007355B3"/>
    <w:rsid w:val="00AA5944"/>
    <w:rsid w:val="00B67C23"/>
    <w:rsid w:val="00CC1D3C"/>
    <w:rsid w:val="00D36035"/>
    <w:rsid w:val="00DB1833"/>
    <w:rsid w:val="00F5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BA129"/>
  <w14:defaultImageDpi w14:val="0"/>
  <w15:docId w15:val="{46C69A31-149B-424E-8F01-1B2095A0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">
    <w:name w:val="List Paragra"/>
    <w:uiPriority w:val="99"/>
    <w:pPr>
      <w:widowControl w:val="0"/>
      <w:autoSpaceDE w:val="0"/>
      <w:autoSpaceDN w:val="0"/>
      <w:adjustRightInd w:val="0"/>
      <w:spacing w:after="159" w:line="258" w:lineRule="auto"/>
      <w:ind w:left="720"/>
      <w:jc w:val="both"/>
    </w:pPr>
    <w:rPr>
      <w:rFonts w:ascii="Calibri" w:hAnsi="Calibri" w:cs="Calibri"/>
    </w:rPr>
  </w:style>
  <w:style w:type="paragraph" w:styleId="NoSpacing">
    <w:name w:val="No Spacing"/>
    <w:uiPriority w:val="99"/>
    <w:qFormat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 w:cs="Calibri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6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921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69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921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493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Whiteman</dc:creator>
  <cp:keywords/>
  <dc:description/>
  <cp:lastModifiedBy>Bill Hooks</cp:lastModifiedBy>
  <cp:revision>4</cp:revision>
  <dcterms:created xsi:type="dcterms:W3CDTF">2017-04-24T17:15:00Z</dcterms:created>
  <dcterms:modified xsi:type="dcterms:W3CDTF">2017-05-10T13:58:00Z</dcterms:modified>
</cp:coreProperties>
</file>