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82C27" w14:textId="77777777" w:rsidR="001F76E6" w:rsidRDefault="00B976CB">
      <w:pPr>
        <w:spacing w:before="34" w:line="319" w:lineRule="exact"/>
        <w:jc w:val="center"/>
        <w:textAlignment w:val="baseline"/>
        <w:rPr>
          <w:rFonts w:ascii="Arial" w:eastAsia="Arial" w:hAnsi="Arial"/>
          <w:b/>
          <w:color w:val="000000"/>
          <w:spacing w:val="-2"/>
          <w:sz w:val="28"/>
        </w:rPr>
      </w:pPr>
      <w:r>
        <w:rPr>
          <w:rFonts w:ascii="Arial" w:eastAsia="Arial" w:hAnsi="Arial"/>
          <w:b/>
          <w:color w:val="000000"/>
          <w:spacing w:val="-2"/>
          <w:sz w:val="28"/>
        </w:rPr>
        <w:t xml:space="preserve">CIRCUMSTANTIAL EVIDENCE–ENTIRE CASE </w:t>
      </w:r>
      <w:r>
        <w:rPr>
          <w:rFonts w:ascii="Arial" w:eastAsia="Arial" w:hAnsi="Arial"/>
          <w:color w:val="000000"/>
          <w:spacing w:val="-2"/>
          <w:sz w:val="28"/>
          <w:vertAlign w:val="superscript"/>
        </w:rPr>
        <w:t>1</w:t>
      </w:r>
      <w:r>
        <w:rPr>
          <w:rFonts w:ascii="Arial" w:eastAsia="Arial" w:hAnsi="Arial"/>
          <w:color w:val="000000"/>
          <w:spacing w:val="-2"/>
          <w:sz w:val="16"/>
        </w:rPr>
        <w:t xml:space="preserve"> </w:t>
      </w:r>
    </w:p>
    <w:p w14:paraId="54282C28" w14:textId="77777777" w:rsidR="001F76E6" w:rsidRDefault="00B976CB">
      <w:pPr>
        <w:spacing w:before="652" w:line="324" w:lineRule="exact"/>
        <w:ind w:firstLine="720"/>
        <w:jc w:val="both"/>
        <w:textAlignment w:val="baseline"/>
        <w:rPr>
          <w:rFonts w:ascii="Arial" w:eastAsia="Arial" w:hAnsi="Arial"/>
          <w:color w:val="000000"/>
          <w:sz w:val="28"/>
        </w:rPr>
      </w:pPr>
      <w:r>
        <w:rPr>
          <w:rFonts w:ascii="Arial" w:eastAsia="Arial" w:hAnsi="Arial"/>
          <w:color w:val="000000"/>
          <w:sz w:val="28"/>
        </w:rPr>
        <w:t>There are two types of evidence; namely, direct evidence and circumstantial evidence.</w:t>
      </w:r>
    </w:p>
    <w:p w14:paraId="54282C29" w14:textId="77777777" w:rsidR="001F76E6" w:rsidRDefault="00B976CB">
      <w:pPr>
        <w:spacing w:before="326"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In this case, the People contend that there is circumstantial evidence of the defendant's guilt.</w:t>
      </w:r>
    </w:p>
    <w:p w14:paraId="54282C2A" w14:textId="77777777" w:rsidR="001F76E6" w:rsidRDefault="00B976CB">
      <w:pPr>
        <w:spacing w:before="322" w:line="324" w:lineRule="exact"/>
        <w:ind w:firstLine="720"/>
        <w:jc w:val="both"/>
        <w:textAlignment w:val="baseline"/>
        <w:rPr>
          <w:rFonts w:ascii="Arial" w:eastAsia="Arial" w:hAnsi="Arial"/>
          <w:color w:val="000000"/>
          <w:sz w:val="28"/>
        </w:rPr>
      </w:pPr>
      <w:r>
        <w:rPr>
          <w:rFonts w:ascii="Arial" w:eastAsia="Arial" w:hAnsi="Arial"/>
          <w:color w:val="000000"/>
          <w:sz w:val="28"/>
        </w:rPr>
        <w:t>Let me explain what constitutes direct and circumstantial evidence and how they differ.</w:t>
      </w:r>
    </w:p>
    <w:p w14:paraId="54282C2B" w14:textId="77777777" w:rsidR="001F76E6" w:rsidRDefault="00B976CB">
      <w:pPr>
        <w:spacing w:before="320"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 xml:space="preserve">Direct evidence is evidence of a fact based on a witness's personal knowledge or observation of that fact. </w:t>
      </w:r>
      <w:proofErr w:type="gramStart"/>
      <w:r>
        <w:rPr>
          <w:rFonts w:ascii="Arial" w:eastAsia="Arial" w:hAnsi="Arial"/>
          <w:color w:val="000000"/>
          <w:spacing w:val="-2"/>
          <w:sz w:val="28"/>
        </w:rPr>
        <w:t>A person's guilt of a charged crime may be proven by direct e</w:t>
      </w:r>
      <w:r>
        <w:rPr>
          <w:rFonts w:ascii="Arial" w:eastAsia="Arial" w:hAnsi="Arial"/>
          <w:color w:val="000000"/>
          <w:spacing w:val="-2"/>
          <w:sz w:val="28"/>
        </w:rPr>
        <w:t>vidence</w:t>
      </w:r>
      <w:proofErr w:type="gramEnd"/>
      <w:r>
        <w:rPr>
          <w:rFonts w:ascii="Arial" w:eastAsia="Arial" w:hAnsi="Arial"/>
          <w:color w:val="000000"/>
          <w:spacing w:val="-2"/>
          <w:sz w:val="28"/>
        </w:rPr>
        <w:t xml:space="preserve"> if, standing alone, that evidence satisfies a jury beyond a reasonable doubt of the person's guilt of that crime.</w:t>
      </w:r>
      <w:r>
        <w:rPr>
          <w:rFonts w:ascii="Arial" w:eastAsia="Arial" w:hAnsi="Arial"/>
          <w:color w:val="000000"/>
          <w:spacing w:val="-2"/>
          <w:sz w:val="28"/>
          <w:vertAlign w:val="superscript"/>
        </w:rPr>
        <w:t>2</w:t>
      </w:r>
      <w:r>
        <w:rPr>
          <w:rFonts w:ascii="Arial" w:eastAsia="Arial" w:hAnsi="Arial"/>
          <w:color w:val="000000"/>
          <w:spacing w:val="-2"/>
          <w:sz w:val="16"/>
        </w:rPr>
        <w:t xml:space="preserve"> </w:t>
      </w:r>
    </w:p>
    <w:p w14:paraId="54282C2C" w14:textId="77777777" w:rsidR="001F76E6" w:rsidRDefault="00B976CB">
      <w:pPr>
        <w:spacing w:before="320" w:line="324" w:lineRule="exact"/>
        <w:ind w:firstLine="720"/>
        <w:jc w:val="both"/>
        <w:textAlignment w:val="baseline"/>
        <w:rPr>
          <w:rFonts w:ascii="Arial" w:eastAsia="Arial" w:hAnsi="Arial"/>
          <w:color w:val="000000"/>
          <w:sz w:val="28"/>
        </w:rPr>
      </w:pPr>
      <w:r>
        <w:rPr>
          <w:rFonts w:ascii="Arial" w:eastAsia="Arial" w:hAnsi="Arial"/>
          <w:color w:val="000000"/>
          <w:sz w:val="28"/>
        </w:rPr>
        <w:t>Circumstantial evidence is direct evidence of a fact from which a person may reasonably infer the existence or non</w:t>
      </w:r>
      <w:r>
        <w:rPr>
          <w:rFonts w:ascii="Arial" w:eastAsia="Arial" w:hAnsi="Arial"/>
          <w:color w:val="000000"/>
          <w:sz w:val="28"/>
        </w:rPr>
        <w:softHyphen/>
        <w:t>existence of anot</w:t>
      </w:r>
      <w:r>
        <w:rPr>
          <w:rFonts w:ascii="Arial" w:eastAsia="Arial" w:hAnsi="Arial"/>
          <w:color w:val="000000"/>
          <w:sz w:val="28"/>
        </w:rPr>
        <w:t>her fact. A person's guilt of a charged crime may be proven by circumstantial evidence, if that evidence, while not directly establishing guilt, gives rise to an inference of guilt beyond a reasonable doubt.</w:t>
      </w:r>
      <w:r>
        <w:rPr>
          <w:rFonts w:ascii="Arial" w:eastAsia="Arial" w:hAnsi="Arial"/>
          <w:color w:val="000000"/>
          <w:sz w:val="28"/>
          <w:vertAlign w:val="superscript"/>
        </w:rPr>
        <w:t>3</w:t>
      </w:r>
      <w:r>
        <w:rPr>
          <w:rFonts w:ascii="Arial" w:eastAsia="Arial" w:hAnsi="Arial"/>
          <w:color w:val="000000"/>
          <w:sz w:val="16"/>
        </w:rPr>
        <w:t xml:space="preserve"> </w:t>
      </w:r>
    </w:p>
    <w:p w14:paraId="54282C2D" w14:textId="77777777" w:rsidR="001F76E6" w:rsidRDefault="00B976CB">
      <w:pPr>
        <w:spacing w:before="332" w:line="324" w:lineRule="exact"/>
        <w:ind w:firstLine="720"/>
        <w:jc w:val="both"/>
        <w:textAlignment w:val="baseline"/>
        <w:rPr>
          <w:rFonts w:ascii="Arial" w:eastAsia="Arial" w:hAnsi="Arial"/>
          <w:color w:val="000000"/>
          <w:sz w:val="28"/>
        </w:rPr>
      </w:pPr>
      <w:r>
        <w:rPr>
          <w:rFonts w:ascii="Arial" w:eastAsia="Arial" w:hAnsi="Arial"/>
          <w:color w:val="000000"/>
          <w:sz w:val="28"/>
        </w:rPr>
        <w:t>Let me give you an example of the difference between direct evidence and circumstantial evidence.</w:t>
      </w:r>
    </w:p>
    <w:p w14:paraId="54282C2E" w14:textId="77777777" w:rsidR="001F76E6" w:rsidRDefault="00B976CB">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Suppose that in a trial one of the parties is trying to prove that it was raining on a certain morning. A witness testifies that on that morning she walked to</w:t>
      </w:r>
      <w:r>
        <w:rPr>
          <w:rFonts w:ascii="Arial" w:eastAsia="Arial" w:hAnsi="Arial"/>
          <w:color w:val="000000"/>
          <w:sz w:val="28"/>
        </w:rPr>
        <w:t xml:space="preserve"> the subway and as she walked she saw rain falling, she felt it striking her face, and she heard it splashing on the sidewalk. That testimony of the witness's perceptions would be direct evidence that it rained on that morning.</w:t>
      </w:r>
    </w:p>
    <w:p w14:paraId="54282C2F" w14:textId="77777777" w:rsidR="001F76E6" w:rsidRDefault="00B976CB">
      <w:pPr>
        <w:spacing w:before="324"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 xml:space="preserve">Suppose, on the other hand, </w:t>
      </w:r>
      <w:r>
        <w:rPr>
          <w:rFonts w:ascii="Arial" w:eastAsia="Arial" w:hAnsi="Arial"/>
          <w:color w:val="000000"/>
          <w:spacing w:val="-4"/>
          <w:sz w:val="28"/>
        </w:rPr>
        <w:t>the witness testified that it was clear as she walked to the subway, that she went into the subway and got on the train and that while she was on the train, she saw</w:t>
      </w:r>
    </w:p>
    <w:p w14:paraId="54282C30" w14:textId="77777777" w:rsidR="001F76E6" w:rsidRDefault="001F76E6">
      <w:pPr>
        <w:sectPr w:rsidR="001F76E6">
          <w:pgSz w:w="12240" w:h="15840"/>
          <w:pgMar w:top="1420" w:right="2140" w:bottom="1344" w:left="2160" w:header="720" w:footer="720" w:gutter="0"/>
          <w:cols w:space="720"/>
        </w:sectPr>
      </w:pPr>
    </w:p>
    <w:p w14:paraId="54282C31" w14:textId="77777777" w:rsidR="001F76E6" w:rsidRDefault="00B976CB">
      <w:pPr>
        <w:spacing w:line="325" w:lineRule="exact"/>
        <w:jc w:val="both"/>
        <w:textAlignment w:val="baseline"/>
        <w:rPr>
          <w:rFonts w:ascii="Arial" w:eastAsia="Arial" w:hAnsi="Arial"/>
          <w:color w:val="000000"/>
          <w:spacing w:val="-2"/>
          <w:sz w:val="28"/>
        </w:rPr>
      </w:pPr>
      <w:r>
        <w:rPr>
          <w:rFonts w:ascii="Arial" w:eastAsia="Arial" w:hAnsi="Arial"/>
          <w:color w:val="000000"/>
          <w:spacing w:val="-2"/>
          <w:sz w:val="28"/>
        </w:rPr>
        <w:lastRenderedPageBreak/>
        <w:t>passengers come in at one station after another carrying wet umbrellas and wearin</w:t>
      </w:r>
      <w:r>
        <w:rPr>
          <w:rFonts w:ascii="Arial" w:eastAsia="Arial" w:hAnsi="Arial"/>
          <w:color w:val="000000"/>
          <w:spacing w:val="-2"/>
          <w:sz w:val="28"/>
        </w:rPr>
        <w:t>g wet clothes and raincoats. That testimony constitutes direct evidence of what the witness observed. And because an inference that it was raining in the area would flow naturally, reasonably, and logically from that direct evidence, the witness's testimon</w:t>
      </w:r>
      <w:r>
        <w:rPr>
          <w:rFonts w:ascii="Arial" w:eastAsia="Arial" w:hAnsi="Arial"/>
          <w:color w:val="000000"/>
          <w:spacing w:val="-2"/>
          <w:sz w:val="28"/>
        </w:rPr>
        <w:t>y would constitute circumstantial evidence that it was raining in the area.</w:t>
      </w:r>
    </w:p>
    <w:p w14:paraId="54282C32" w14:textId="77777777" w:rsidR="001F76E6" w:rsidRDefault="00B976CB">
      <w:pPr>
        <w:spacing w:before="310" w:line="325" w:lineRule="exact"/>
        <w:ind w:firstLine="720"/>
        <w:jc w:val="both"/>
        <w:textAlignment w:val="baseline"/>
        <w:rPr>
          <w:rFonts w:ascii="Arial" w:eastAsia="Arial" w:hAnsi="Arial"/>
          <w:color w:val="000000"/>
          <w:sz w:val="28"/>
        </w:rPr>
      </w:pPr>
      <w:r>
        <w:rPr>
          <w:rFonts w:ascii="Arial" w:eastAsia="Arial" w:hAnsi="Arial"/>
          <w:color w:val="000000"/>
          <w:sz w:val="28"/>
        </w:rPr>
        <w:t>The law draws no distinction between circumstantial evidence and direct evidence in terms of weight or importance. Either type of evidence may be enough to establish guilt beyond a</w:t>
      </w:r>
      <w:r>
        <w:rPr>
          <w:rFonts w:ascii="Arial" w:eastAsia="Arial" w:hAnsi="Arial"/>
          <w:color w:val="000000"/>
          <w:sz w:val="28"/>
        </w:rPr>
        <w:t xml:space="preserve"> reasonable doubt, depending on the facts of the case as the jury finds them to be.</w:t>
      </w:r>
      <w:r>
        <w:rPr>
          <w:rFonts w:ascii="Arial" w:eastAsia="Arial" w:hAnsi="Arial"/>
          <w:color w:val="000000"/>
          <w:sz w:val="28"/>
          <w:vertAlign w:val="superscript"/>
        </w:rPr>
        <w:t>4</w:t>
      </w:r>
      <w:r>
        <w:rPr>
          <w:rFonts w:ascii="Arial" w:eastAsia="Arial" w:hAnsi="Arial"/>
          <w:color w:val="000000"/>
          <w:sz w:val="16"/>
        </w:rPr>
        <w:t xml:space="preserve"> </w:t>
      </w:r>
    </w:p>
    <w:p w14:paraId="54282C33" w14:textId="77777777" w:rsidR="001F76E6" w:rsidRDefault="00B976CB">
      <w:pPr>
        <w:spacing w:before="327" w:line="325" w:lineRule="exact"/>
        <w:ind w:firstLine="720"/>
        <w:jc w:val="both"/>
        <w:textAlignment w:val="baseline"/>
        <w:rPr>
          <w:rFonts w:ascii="Arial" w:eastAsia="Arial" w:hAnsi="Arial"/>
          <w:color w:val="000000"/>
          <w:sz w:val="28"/>
        </w:rPr>
      </w:pPr>
      <w:r>
        <w:rPr>
          <w:rFonts w:ascii="Arial" w:eastAsia="Arial" w:hAnsi="Arial"/>
          <w:color w:val="000000"/>
          <w:sz w:val="28"/>
        </w:rPr>
        <w:t>Because circumstantial evidence requires the drawing of inferences, I will explain the process involved in analyzing that evidence and what you must do before you may return a verdict of guilty based solely on circumstantial evidence.</w:t>
      </w:r>
    </w:p>
    <w:p w14:paraId="54282C34" w14:textId="77777777" w:rsidR="001F76E6" w:rsidRDefault="00B976CB">
      <w:pPr>
        <w:spacing w:before="314" w:line="325" w:lineRule="exact"/>
        <w:ind w:firstLine="720"/>
        <w:jc w:val="both"/>
        <w:textAlignment w:val="baseline"/>
        <w:rPr>
          <w:rFonts w:ascii="Arial" w:eastAsia="Arial" w:hAnsi="Arial"/>
          <w:color w:val="000000"/>
          <w:sz w:val="28"/>
        </w:rPr>
      </w:pPr>
      <w:r>
        <w:rPr>
          <w:rFonts w:ascii="Arial" w:eastAsia="Arial" w:hAnsi="Arial"/>
          <w:color w:val="000000"/>
          <w:sz w:val="28"/>
        </w:rPr>
        <w:t>Initially, you must d</w:t>
      </w:r>
      <w:r>
        <w:rPr>
          <w:rFonts w:ascii="Arial" w:eastAsia="Arial" w:hAnsi="Arial"/>
          <w:color w:val="000000"/>
          <w:sz w:val="28"/>
        </w:rPr>
        <w:t xml:space="preserve">ecide, </w:t>
      </w:r>
      <w:proofErr w:type="gramStart"/>
      <w:r>
        <w:rPr>
          <w:rFonts w:ascii="Arial" w:eastAsia="Arial" w:hAnsi="Arial"/>
          <w:color w:val="000000"/>
          <w:sz w:val="28"/>
        </w:rPr>
        <w:t>on the basis of</w:t>
      </w:r>
      <w:proofErr w:type="gramEnd"/>
      <w:r>
        <w:rPr>
          <w:rFonts w:ascii="Arial" w:eastAsia="Arial" w:hAnsi="Arial"/>
          <w:color w:val="000000"/>
          <w:sz w:val="28"/>
        </w:rPr>
        <w:t xml:space="preserve"> all of the evidence, what facts, if any, have been proven. Any facts upon which an inference of guilt can be drawn must be proven beyond a reasonable doubt.</w:t>
      </w:r>
      <w:r>
        <w:rPr>
          <w:rFonts w:ascii="Arial" w:eastAsia="Arial" w:hAnsi="Arial"/>
          <w:color w:val="000000"/>
          <w:sz w:val="28"/>
          <w:vertAlign w:val="superscript"/>
        </w:rPr>
        <w:t>5</w:t>
      </w:r>
      <w:r>
        <w:rPr>
          <w:rFonts w:ascii="Arial" w:eastAsia="Arial" w:hAnsi="Arial"/>
          <w:color w:val="000000"/>
          <w:sz w:val="16"/>
        </w:rPr>
        <w:t xml:space="preserve"> </w:t>
      </w:r>
    </w:p>
    <w:p w14:paraId="54282C35" w14:textId="77777777" w:rsidR="001F76E6" w:rsidRDefault="00B976CB">
      <w:pPr>
        <w:spacing w:before="329" w:line="325" w:lineRule="exact"/>
        <w:ind w:firstLine="720"/>
        <w:jc w:val="both"/>
        <w:textAlignment w:val="baseline"/>
        <w:rPr>
          <w:rFonts w:ascii="Arial" w:eastAsia="Arial" w:hAnsi="Arial"/>
          <w:color w:val="000000"/>
          <w:sz w:val="28"/>
        </w:rPr>
      </w:pPr>
      <w:r>
        <w:rPr>
          <w:rFonts w:ascii="Arial" w:eastAsia="Arial" w:hAnsi="Arial"/>
          <w:color w:val="000000"/>
          <w:sz w:val="28"/>
        </w:rPr>
        <w:t>After you have determined what facts, if any, have been proven beyond a re</w:t>
      </w:r>
      <w:r>
        <w:rPr>
          <w:rFonts w:ascii="Arial" w:eastAsia="Arial" w:hAnsi="Arial"/>
          <w:color w:val="000000"/>
          <w:sz w:val="28"/>
        </w:rPr>
        <w:t>asonable doubt, then you must decide what inferences, if any, can be drawn from those facts.</w:t>
      </w:r>
    </w:p>
    <w:p w14:paraId="54282C36" w14:textId="77777777" w:rsidR="001F76E6" w:rsidRDefault="00B976CB">
      <w:pPr>
        <w:spacing w:before="315" w:line="325"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Before you may draw an inference of guilt, however, that inference must be the only one that can fairly and reasonably be drawn from the facts, it must be consiste</w:t>
      </w:r>
      <w:r>
        <w:rPr>
          <w:rFonts w:ascii="Arial" w:eastAsia="Arial" w:hAnsi="Arial"/>
          <w:color w:val="000000"/>
          <w:spacing w:val="-1"/>
          <w:sz w:val="28"/>
        </w:rPr>
        <w:t>nt with the proven facts, and it must flow naturally, reasonably, and logically from them.</w:t>
      </w:r>
      <w:r>
        <w:rPr>
          <w:rFonts w:ascii="Arial" w:eastAsia="Arial" w:hAnsi="Arial"/>
          <w:color w:val="000000"/>
          <w:spacing w:val="-1"/>
          <w:sz w:val="28"/>
          <w:vertAlign w:val="superscript"/>
        </w:rPr>
        <w:t>6</w:t>
      </w:r>
      <w:r>
        <w:rPr>
          <w:rFonts w:ascii="Arial" w:eastAsia="Arial" w:hAnsi="Arial"/>
          <w:color w:val="000000"/>
          <w:spacing w:val="-1"/>
          <w:sz w:val="16"/>
        </w:rPr>
        <w:t xml:space="preserve"> </w:t>
      </w:r>
    </w:p>
    <w:p w14:paraId="54282C37" w14:textId="77777777" w:rsidR="001F76E6" w:rsidRDefault="00B976CB">
      <w:pPr>
        <w:spacing w:before="321" w:line="325" w:lineRule="exact"/>
        <w:ind w:firstLine="720"/>
        <w:jc w:val="both"/>
        <w:textAlignment w:val="baseline"/>
        <w:rPr>
          <w:rFonts w:ascii="Arial" w:eastAsia="Arial" w:hAnsi="Arial"/>
          <w:color w:val="000000"/>
          <w:sz w:val="28"/>
        </w:rPr>
      </w:pPr>
      <w:r>
        <w:rPr>
          <w:rFonts w:ascii="Arial" w:eastAsia="Arial" w:hAnsi="Arial"/>
          <w:color w:val="000000"/>
          <w:sz w:val="28"/>
        </w:rPr>
        <w:t>Again, it must appear that the inference of guilt is the only one that can fairly and reasonably be drawn from the facts, and that the evidence excludes beyond a reasonable doubt every reasonable hypothesis of innocence.</w:t>
      </w:r>
      <w:r>
        <w:rPr>
          <w:rFonts w:ascii="Arial" w:eastAsia="Arial" w:hAnsi="Arial"/>
          <w:color w:val="000000"/>
          <w:sz w:val="28"/>
          <w:vertAlign w:val="superscript"/>
        </w:rPr>
        <w:t>7</w:t>
      </w:r>
      <w:r>
        <w:rPr>
          <w:rFonts w:ascii="Arial" w:eastAsia="Arial" w:hAnsi="Arial"/>
          <w:color w:val="000000"/>
          <w:sz w:val="16"/>
        </w:rPr>
        <w:t xml:space="preserve"> </w:t>
      </w:r>
    </w:p>
    <w:p w14:paraId="54282C38" w14:textId="77777777" w:rsidR="001F76E6" w:rsidRDefault="00B976CB">
      <w:pPr>
        <w:spacing w:before="324"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If there is a reasonable hypothes</w:t>
      </w:r>
      <w:r>
        <w:rPr>
          <w:rFonts w:ascii="Arial" w:eastAsia="Arial" w:hAnsi="Arial"/>
          <w:color w:val="000000"/>
          <w:spacing w:val="-3"/>
          <w:sz w:val="28"/>
        </w:rPr>
        <w:t>is from the proven facts consistent with the defendant's innocence, then you must find the</w:t>
      </w:r>
    </w:p>
    <w:p w14:paraId="54282C39" w14:textId="77777777" w:rsidR="001F76E6" w:rsidRDefault="001F76E6">
      <w:pPr>
        <w:sectPr w:rsidR="001F76E6">
          <w:pgSz w:w="12240" w:h="15840"/>
          <w:pgMar w:top="1440" w:right="2134" w:bottom="1024" w:left="2140" w:header="720" w:footer="720" w:gutter="0"/>
          <w:cols w:space="720"/>
        </w:sectPr>
      </w:pPr>
    </w:p>
    <w:p w14:paraId="54282C3A" w14:textId="77777777" w:rsidR="001F76E6" w:rsidRDefault="00B976CB">
      <w:pPr>
        <w:spacing w:before="18" w:line="325" w:lineRule="exact"/>
        <w:textAlignment w:val="baseline"/>
        <w:rPr>
          <w:rFonts w:ascii="Arial" w:eastAsia="Arial" w:hAnsi="Arial"/>
          <w:color w:val="000000"/>
          <w:spacing w:val="-2"/>
          <w:sz w:val="28"/>
        </w:rPr>
      </w:pPr>
      <w:r>
        <w:rPr>
          <w:rFonts w:ascii="Arial" w:eastAsia="Arial" w:hAnsi="Arial"/>
          <w:color w:val="000000"/>
          <w:spacing w:val="-2"/>
          <w:sz w:val="28"/>
        </w:rPr>
        <w:lastRenderedPageBreak/>
        <w:t>defendant not guilty.</w:t>
      </w:r>
      <w:r>
        <w:rPr>
          <w:rFonts w:ascii="Arial" w:eastAsia="Arial" w:hAnsi="Arial"/>
          <w:color w:val="000000"/>
          <w:spacing w:val="-2"/>
          <w:sz w:val="28"/>
          <w:vertAlign w:val="superscript"/>
        </w:rPr>
        <w:t>8</w:t>
      </w:r>
      <w:r>
        <w:rPr>
          <w:rFonts w:ascii="Arial" w:eastAsia="Arial" w:hAnsi="Arial"/>
          <w:color w:val="000000"/>
          <w:spacing w:val="-2"/>
          <w:sz w:val="16"/>
        </w:rPr>
        <w:t xml:space="preserve"> </w:t>
      </w:r>
    </w:p>
    <w:p w14:paraId="54282C3B" w14:textId="77777777" w:rsidR="001F76E6" w:rsidRDefault="00B976CB">
      <w:pPr>
        <w:spacing w:before="324" w:line="325" w:lineRule="exact"/>
        <w:ind w:firstLine="720"/>
        <w:jc w:val="both"/>
        <w:textAlignment w:val="baseline"/>
        <w:rPr>
          <w:rFonts w:ascii="Arial" w:eastAsia="Arial" w:hAnsi="Arial"/>
          <w:color w:val="000000"/>
          <w:sz w:val="28"/>
        </w:rPr>
      </w:pPr>
      <w:r>
        <w:rPr>
          <w:rFonts w:ascii="Arial" w:eastAsia="Arial" w:hAnsi="Arial"/>
          <w:color w:val="000000"/>
          <w:sz w:val="28"/>
        </w:rPr>
        <w:t>If the only reasonable inference you find is that the defendant is guilty of a charged crime, and that inference is established beyond reasonable doubt, then you must find the defendant guilty of that crime.</w:t>
      </w:r>
      <w:r>
        <w:rPr>
          <w:rFonts w:ascii="Arial" w:eastAsia="Arial" w:hAnsi="Arial"/>
          <w:color w:val="000000"/>
          <w:sz w:val="16"/>
        </w:rPr>
        <w:t>9</w:t>
      </w:r>
    </w:p>
    <w:p w14:paraId="54282C3C" w14:textId="77777777" w:rsidR="001F76E6" w:rsidRDefault="001F76E6">
      <w:pPr>
        <w:sectPr w:rsidR="001F76E6">
          <w:pgSz w:w="12240" w:h="15840"/>
          <w:pgMar w:top="1420" w:right="2132" w:bottom="12024" w:left="2142" w:header="720" w:footer="720" w:gutter="0"/>
          <w:cols w:space="720"/>
        </w:sectPr>
      </w:pPr>
    </w:p>
    <w:p w14:paraId="54282C3D" w14:textId="77777777" w:rsidR="001F76E6" w:rsidRDefault="00B976CB">
      <w:pPr>
        <w:numPr>
          <w:ilvl w:val="0"/>
          <w:numId w:val="1"/>
        </w:numPr>
        <w:tabs>
          <w:tab w:val="clear" w:pos="216"/>
          <w:tab w:val="left" w:pos="288"/>
        </w:tabs>
        <w:spacing w:line="291" w:lineRule="exact"/>
        <w:ind w:left="72"/>
        <w:jc w:val="both"/>
        <w:textAlignment w:val="baseline"/>
        <w:rPr>
          <w:rFonts w:ascii="Arial" w:eastAsia="Arial" w:hAnsi="Arial"/>
          <w:color w:val="000000"/>
          <w:spacing w:val="7"/>
          <w:sz w:val="24"/>
        </w:rPr>
      </w:pPr>
      <w:r>
        <w:rPr>
          <w:rFonts w:ascii="Arial" w:eastAsia="Arial" w:hAnsi="Arial"/>
          <w:color w:val="000000"/>
          <w:spacing w:val="7"/>
          <w:sz w:val="24"/>
        </w:rPr>
        <w:lastRenderedPageBreak/>
        <w:t>The following charge does not use the</w:t>
      </w:r>
      <w:r>
        <w:rPr>
          <w:rFonts w:ascii="Arial" w:eastAsia="Arial" w:hAnsi="Arial"/>
          <w:color w:val="000000"/>
          <w:spacing w:val="7"/>
          <w:sz w:val="24"/>
        </w:rPr>
        <w:t xml:space="preserve"> words “moral certainty” which are no longer required in this state. In the words of the Court of Appeals:</w:t>
      </w:r>
    </w:p>
    <w:p w14:paraId="54282C3E" w14:textId="77777777" w:rsidR="001F76E6" w:rsidRDefault="00B976CB">
      <w:pPr>
        <w:spacing w:before="298" w:line="297" w:lineRule="exact"/>
        <w:ind w:left="720"/>
        <w:jc w:val="both"/>
        <w:textAlignment w:val="baseline"/>
        <w:rPr>
          <w:rFonts w:ascii="Arial" w:eastAsia="Arial" w:hAnsi="Arial"/>
          <w:color w:val="000000"/>
          <w:spacing w:val="6"/>
          <w:sz w:val="24"/>
        </w:rPr>
      </w:pPr>
      <w:r>
        <w:rPr>
          <w:rFonts w:ascii="Arial" w:eastAsia="Arial" w:hAnsi="Arial"/>
          <w:color w:val="000000"/>
          <w:spacing w:val="6"/>
          <w:sz w:val="24"/>
        </w:rPr>
        <w:t>"While it is not necessary that the words 'moral certainty' be used, when the evidence is circumstantial the jury should be instructed in substance t</w:t>
      </w:r>
      <w:r>
        <w:rPr>
          <w:rFonts w:ascii="Arial" w:eastAsia="Arial" w:hAnsi="Arial"/>
          <w:color w:val="000000"/>
          <w:spacing w:val="6"/>
          <w:sz w:val="24"/>
        </w:rPr>
        <w:t xml:space="preserve">hat it must appear that the inference of guilt is the only one that can fairly and reasonably be drawn from the facts, and that the evidence excludes beyond a reasonable doubt every reasonable hypothesis of innocence." </w:t>
      </w:r>
      <w:r>
        <w:rPr>
          <w:rFonts w:ascii="Arial" w:eastAsia="Arial" w:hAnsi="Arial"/>
          <w:i/>
          <w:color w:val="000000"/>
          <w:spacing w:val="6"/>
          <w:sz w:val="24"/>
        </w:rPr>
        <w:t>People v Sanchez</w:t>
      </w:r>
      <w:r>
        <w:rPr>
          <w:rFonts w:ascii="Arial" w:eastAsia="Arial" w:hAnsi="Arial"/>
          <w:color w:val="000000"/>
          <w:spacing w:val="6"/>
          <w:sz w:val="24"/>
        </w:rPr>
        <w:t xml:space="preserve">, 61 NY2d 1022, 1024 (1984); </w:t>
      </w:r>
      <w:r>
        <w:rPr>
          <w:rFonts w:ascii="Arial" w:eastAsia="Arial" w:hAnsi="Arial"/>
          <w:i/>
          <w:color w:val="000000"/>
          <w:spacing w:val="6"/>
          <w:sz w:val="24"/>
        </w:rPr>
        <w:t>People v Ford</w:t>
      </w:r>
      <w:r>
        <w:rPr>
          <w:rFonts w:ascii="Arial" w:eastAsia="Arial" w:hAnsi="Arial"/>
          <w:color w:val="000000"/>
          <w:spacing w:val="6"/>
          <w:sz w:val="24"/>
        </w:rPr>
        <w:t xml:space="preserve">, 66 NY2d 428, 441-443 (1985). </w:t>
      </w:r>
      <w:r>
        <w:rPr>
          <w:rFonts w:ascii="Arial" w:eastAsia="Arial" w:hAnsi="Arial"/>
          <w:i/>
          <w:color w:val="000000"/>
          <w:spacing w:val="6"/>
          <w:sz w:val="24"/>
        </w:rPr>
        <w:t>See also People v Gonzalez</w:t>
      </w:r>
      <w:r>
        <w:rPr>
          <w:rFonts w:ascii="Arial" w:eastAsia="Arial" w:hAnsi="Arial"/>
          <w:color w:val="000000"/>
          <w:spacing w:val="6"/>
          <w:sz w:val="24"/>
        </w:rPr>
        <w:t>, 54 NY2d 729 (1981).</w:t>
      </w:r>
    </w:p>
    <w:p w14:paraId="54282C3F" w14:textId="77777777" w:rsidR="001F76E6" w:rsidRDefault="00B976CB">
      <w:pPr>
        <w:numPr>
          <w:ilvl w:val="0"/>
          <w:numId w:val="1"/>
        </w:numPr>
        <w:tabs>
          <w:tab w:val="clear" w:pos="216"/>
          <w:tab w:val="left" w:pos="288"/>
        </w:tabs>
        <w:spacing w:before="243" w:line="297" w:lineRule="exact"/>
        <w:ind w:left="72"/>
        <w:textAlignment w:val="baseline"/>
        <w:rPr>
          <w:rFonts w:ascii="Arial" w:eastAsia="Arial" w:hAnsi="Arial"/>
          <w:i/>
          <w:color w:val="000000"/>
          <w:spacing w:val="8"/>
          <w:sz w:val="24"/>
        </w:rPr>
      </w:pPr>
      <w:r>
        <w:rPr>
          <w:rFonts w:ascii="Arial" w:eastAsia="Arial" w:hAnsi="Arial"/>
          <w:i/>
          <w:color w:val="000000"/>
          <w:spacing w:val="8"/>
          <w:sz w:val="24"/>
        </w:rPr>
        <w:t xml:space="preserve">See People v </w:t>
      </w:r>
      <w:proofErr w:type="spellStart"/>
      <w:r>
        <w:rPr>
          <w:rFonts w:ascii="Arial" w:eastAsia="Arial" w:hAnsi="Arial"/>
          <w:i/>
          <w:color w:val="000000"/>
          <w:spacing w:val="8"/>
          <w:sz w:val="24"/>
        </w:rPr>
        <w:t>Bretagna</w:t>
      </w:r>
      <w:proofErr w:type="spellEnd"/>
      <w:r>
        <w:rPr>
          <w:rFonts w:ascii="Arial" w:eastAsia="Arial" w:hAnsi="Arial"/>
          <w:color w:val="000000"/>
          <w:spacing w:val="8"/>
          <w:sz w:val="24"/>
        </w:rPr>
        <w:t>, 298 N.Y. 323, 325 (1949).</w:t>
      </w:r>
    </w:p>
    <w:p w14:paraId="54282C40" w14:textId="77777777" w:rsidR="001F76E6" w:rsidRDefault="00B976CB">
      <w:pPr>
        <w:numPr>
          <w:ilvl w:val="0"/>
          <w:numId w:val="1"/>
        </w:numPr>
        <w:tabs>
          <w:tab w:val="clear" w:pos="216"/>
          <w:tab w:val="left" w:pos="288"/>
        </w:tabs>
        <w:spacing w:before="242" w:line="297" w:lineRule="exact"/>
        <w:ind w:left="72"/>
        <w:jc w:val="both"/>
        <w:textAlignment w:val="baseline"/>
        <w:rPr>
          <w:rFonts w:ascii="Arial" w:eastAsia="Arial" w:hAnsi="Arial"/>
          <w:i/>
          <w:color w:val="000000"/>
          <w:sz w:val="24"/>
        </w:rPr>
      </w:pPr>
      <w:r>
        <w:rPr>
          <w:rFonts w:ascii="Arial" w:eastAsia="Arial" w:hAnsi="Arial"/>
          <w:i/>
          <w:color w:val="000000"/>
          <w:sz w:val="24"/>
        </w:rPr>
        <w:t xml:space="preserve">See People v </w:t>
      </w:r>
      <w:proofErr w:type="spellStart"/>
      <w:r>
        <w:rPr>
          <w:rFonts w:ascii="Arial" w:eastAsia="Arial" w:hAnsi="Arial"/>
          <w:i/>
          <w:color w:val="000000"/>
          <w:sz w:val="24"/>
        </w:rPr>
        <w:t>Bretagna</w:t>
      </w:r>
      <w:proofErr w:type="spellEnd"/>
      <w:r>
        <w:rPr>
          <w:rFonts w:ascii="Arial" w:eastAsia="Arial" w:hAnsi="Arial"/>
          <w:i/>
          <w:color w:val="000000"/>
          <w:sz w:val="24"/>
        </w:rPr>
        <w:t xml:space="preserve">, supra; People v Roldan, </w:t>
      </w:r>
      <w:r>
        <w:rPr>
          <w:rFonts w:ascii="Arial" w:eastAsia="Arial" w:hAnsi="Arial"/>
          <w:color w:val="000000"/>
          <w:sz w:val="24"/>
        </w:rPr>
        <w:t xml:space="preserve">211 A.D.2d 366, 368-369 (1 </w:t>
      </w:r>
      <w:proofErr w:type="spellStart"/>
      <w:r>
        <w:rPr>
          <w:rFonts w:ascii="Arial" w:eastAsia="Arial" w:hAnsi="Arial"/>
          <w:color w:val="000000"/>
          <w:sz w:val="24"/>
          <w:vertAlign w:val="superscript"/>
        </w:rPr>
        <w:t>st</w:t>
      </w:r>
      <w:proofErr w:type="spellEnd"/>
      <w:r>
        <w:rPr>
          <w:rFonts w:ascii="Arial" w:eastAsia="Arial" w:hAnsi="Arial"/>
          <w:color w:val="000000"/>
          <w:sz w:val="24"/>
        </w:rPr>
        <w:t xml:space="preserve"> Dept. 1995), </w:t>
      </w:r>
      <w:r>
        <w:rPr>
          <w:rFonts w:ascii="Arial" w:eastAsia="Arial" w:hAnsi="Arial"/>
          <w:i/>
          <w:color w:val="000000"/>
          <w:sz w:val="24"/>
        </w:rPr>
        <w:t xml:space="preserve">aff’d </w:t>
      </w:r>
      <w:r>
        <w:rPr>
          <w:rFonts w:ascii="Arial" w:eastAsia="Arial" w:hAnsi="Arial"/>
          <w:color w:val="000000"/>
          <w:sz w:val="24"/>
        </w:rPr>
        <w:t xml:space="preserve">88 N.Y.2d 826 (1996); </w:t>
      </w:r>
      <w:r>
        <w:rPr>
          <w:rFonts w:ascii="Arial" w:eastAsia="Arial" w:hAnsi="Arial"/>
          <w:i/>
          <w:color w:val="000000"/>
          <w:sz w:val="24"/>
        </w:rPr>
        <w:t>People v Marin</w:t>
      </w:r>
      <w:r>
        <w:rPr>
          <w:rFonts w:ascii="Arial" w:eastAsia="Arial" w:hAnsi="Arial"/>
          <w:color w:val="000000"/>
          <w:sz w:val="24"/>
        </w:rPr>
        <w:t xml:space="preserve">, 102 A.D.2d 14, 26-27 (2d Dept. 1984), </w:t>
      </w:r>
      <w:r>
        <w:rPr>
          <w:rFonts w:ascii="Arial" w:eastAsia="Arial" w:hAnsi="Arial"/>
          <w:i/>
          <w:color w:val="000000"/>
          <w:sz w:val="24"/>
        </w:rPr>
        <w:t xml:space="preserve">aff’d </w:t>
      </w:r>
      <w:r>
        <w:rPr>
          <w:rFonts w:ascii="Arial" w:eastAsia="Arial" w:hAnsi="Arial"/>
          <w:color w:val="000000"/>
          <w:sz w:val="24"/>
        </w:rPr>
        <w:t xml:space="preserve">65 N.Y.2d 741 (1985); </w:t>
      </w:r>
      <w:r>
        <w:rPr>
          <w:rFonts w:ascii="Arial" w:eastAsia="Arial" w:hAnsi="Arial"/>
          <w:i/>
          <w:color w:val="000000"/>
          <w:sz w:val="24"/>
        </w:rPr>
        <w:t>People v Vitalis</w:t>
      </w:r>
      <w:r>
        <w:rPr>
          <w:rFonts w:ascii="Arial" w:eastAsia="Arial" w:hAnsi="Arial"/>
          <w:color w:val="000000"/>
          <w:sz w:val="24"/>
        </w:rPr>
        <w:t>, 67 A.D.2d 498, 503 (2d Dept. 1979).</w:t>
      </w:r>
    </w:p>
    <w:p w14:paraId="54282C41" w14:textId="77777777" w:rsidR="001F76E6" w:rsidRDefault="00B976CB">
      <w:pPr>
        <w:numPr>
          <w:ilvl w:val="0"/>
          <w:numId w:val="1"/>
        </w:numPr>
        <w:tabs>
          <w:tab w:val="clear" w:pos="216"/>
          <w:tab w:val="left" w:pos="288"/>
        </w:tabs>
        <w:spacing w:before="241" w:line="297" w:lineRule="exact"/>
        <w:ind w:left="72"/>
        <w:jc w:val="both"/>
        <w:textAlignment w:val="baseline"/>
        <w:rPr>
          <w:rFonts w:ascii="Arial" w:eastAsia="Arial" w:hAnsi="Arial"/>
          <w:i/>
          <w:color w:val="000000"/>
          <w:sz w:val="24"/>
        </w:rPr>
      </w:pPr>
      <w:r>
        <w:rPr>
          <w:rFonts w:ascii="Arial" w:eastAsia="Arial" w:hAnsi="Arial"/>
          <w:i/>
          <w:color w:val="000000"/>
          <w:sz w:val="24"/>
        </w:rPr>
        <w:t xml:space="preserve">See People </w:t>
      </w:r>
      <w:r>
        <w:rPr>
          <w:rFonts w:ascii="Arial" w:eastAsia="Arial" w:hAnsi="Arial"/>
          <w:color w:val="000000"/>
          <w:sz w:val="24"/>
        </w:rPr>
        <w:t xml:space="preserve">v </w:t>
      </w:r>
      <w:proofErr w:type="spellStart"/>
      <w:r w:rsidRPr="00B976CB">
        <w:rPr>
          <w:rFonts w:ascii="Arial" w:eastAsia="Arial" w:hAnsi="Arial"/>
          <w:i/>
          <w:color w:val="000000"/>
          <w:sz w:val="24"/>
        </w:rPr>
        <w:t>Benzinger</w:t>
      </w:r>
      <w:proofErr w:type="spellEnd"/>
      <w:r w:rsidRPr="00B976CB">
        <w:rPr>
          <w:rFonts w:ascii="Arial" w:eastAsia="Arial" w:hAnsi="Arial"/>
          <w:i/>
          <w:color w:val="000000"/>
          <w:sz w:val="24"/>
        </w:rPr>
        <w:t>,</w:t>
      </w:r>
      <w:r>
        <w:rPr>
          <w:rFonts w:ascii="Arial" w:eastAsia="Arial" w:hAnsi="Arial"/>
          <w:color w:val="000000"/>
          <w:sz w:val="24"/>
        </w:rPr>
        <w:t xml:space="preserve"> 36 N.Y.2d 29, 31-32 (1974); </w:t>
      </w:r>
      <w:r>
        <w:rPr>
          <w:rFonts w:ascii="Arial" w:eastAsia="Arial" w:hAnsi="Arial"/>
          <w:i/>
          <w:color w:val="000000"/>
          <w:sz w:val="24"/>
        </w:rPr>
        <w:t xml:space="preserve">People v </w:t>
      </w:r>
      <w:proofErr w:type="spellStart"/>
      <w:r>
        <w:rPr>
          <w:rFonts w:ascii="Arial" w:eastAsia="Arial" w:hAnsi="Arial"/>
          <w:i/>
          <w:color w:val="000000"/>
          <w:sz w:val="24"/>
        </w:rPr>
        <w:t>Cleague</w:t>
      </w:r>
      <w:proofErr w:type="spellEnd"/>
      <w:r>
        <w:rPr>
          <w:rFonts w:ascii="Arial" w:eastAsia="Arial" w:hAnsi="Arial"/>
          <w:color w:val="000000"/>
          <w:sz w:val="24"/>
        </w:rPr>
        <w:t>, 22 N.Y.2d 363, 367 (1968).</w:t>
      </w:r>
    </w:p>
    <w:p w14:paraId="54282C42" w14:textId="77777777" w:rsidR="001F76E6" w:rsidRDefault="00B976CB">
      <w:pPr>
        <w:numPr>
          <w:ilvl w:val="0"/>
          <w:numId w:val="1"/>
        </w:numPr>
        <w:tabs>
          <w:tab w:val="clear" w:pos="216"/>
          <w:tab w:val="left" w:pos="288"/>
        </w:tabs>
        <w:spacing w:before="241" w:line="297" w:lineRule="exact"/>
        <w:ind w:left="72"/>
        <w:jc w:val="both"/>
        <w:textAlignment w:val="baseline"/>
        <w:rPr>
          <w:rFonts w:ascii="Arial" w:eastAsia="Arial" w:hAnsi="Arial"/>
          <w:i/>
          <w:color w:val="000000"/>
          <w:spacing w:val="8"/>
          <w:sz w:val="24"/>
        </w:rPr>
      </w:pPr>
      <w:r>
        <w:rPr>
          <w:rFonts w:ascii="Arial" w:eastAsia="Arial" w:hAnsi="Arial"/>
          <w:i/>
          <w:color w:val="000000"/>
          <w:spacing w:val="8"/>
          <w:sz w:val="24"/>
        </w:rPr>
        <w:t xml:space="preserve">See People v </w:t>
      </w:r>
      <w:proofErr w:type="spellStart"/>
      <w:r>
        <w:rPr>
          <w:rFonts w:ascii="Arial" w:eastAsia="Arial" w:hAnsi="Arial"/>
          <w:i/>
          <w:color w:val="000000"/>
          <w:spacing w:val="8"/>
          <w:sz w:val="24"/>
        </w:rPr>
        <w:t>Cleague</w:t>
      </w:r>
      <w:proofErr w:type="spellEnd"/>
      <w:r>
        <w:rPr>
          <w:rFonts w:ascii="Arial" w:eastAsia="Arial" w:hAnsi="Arial"/>
          <w:i/>
          <w:color w:val="000000"/>
          <w:spacing w:val="8"/>
          <w:sz w:val="24"/>
        </w:rPr>
        <w:t>, supra</w:t>
      </w:r>
      <w:r>
        <w:rPr>
          <w:rFonts w:ascii="Arial" w:eastAsia="Arial" w:hAnsi="Arial"/>
          <w:color w:val="000000"/>
          <w:spacing w:val="8"/>
          <w:sz w:val="24"/>
        </w:rPr>
        <w:t>, 22 N.Y.2d, at 365-366.</w:t>
      </w:r>
    </w:p>
    <w:p w14:paraId="54282C43" w14:textId="77777777" w:rsidR="001F76E6" w:rsidRDefault="00B976CB">
      <w:pPr>
        <w:numPr>
          <w:ilvl w:val="0"/>
          <w:numId w:val="1"/>
        </w:numPr>
        <w:tabs>
          <w:tab w:val="clear" w:pos="216"/>
          <w:tab w:val="left" w:pos="288"/>
        </w:tabs>
        <w:spacing w:before="245" w:line="297" w:lineRule="exact"/>
        <w:ind w:left="72"/>
        <w:jc w:val="both"/>
        <w:textAlignment w:val="baseline"/>
        <w:rPr>
          <w:rFonts w:ascii="Arial" w:eastAsia="Arial" w:hAnsi="Arial"/>
          <w:i/>
          <w:color w:val="000000"/>
          <w:spacing w:val="8"/>
          <w:sz w:val="24"/>
        </w:rPr>
      </w:pPr>
      <w:r>
        <w:rPr>
          <w:rFonts w:ascii="Arial" w:eastAsia="Arial" w:hAnsi="Arial"/>
          <w:i/>
          <w:color w:val="000000"/>
          <w:spacing w:val="8"/>
          <w:sz w:val="24"/>
        </w:rPr>
        <w:t xml:space="preserve">See People v </w:t>
      </w:r>
      <w:proofErr w:type="spellStart"/>
      <w:r>
        <w:rPr>
          <w:rFonts w:ascii="Arial" w:eastAsia="Arial" w:hAnsi="Arial"/>
          <w:i/>
          <w:color w:val="000000"/>
          <w:spacing w:val="8"/>
          <w:sz w:val="24"/>
        </w:rPr>
        <w:t>Benzinger</w:t>
      </w:r>
      <w:proofErr w:type="spellEnd"/>
      <w:r>
        <w:rPr>
          <w:rFonts w:ascii="Arial" w:eastAsia="Arial" w:hAnsi="Arial"/>
          <w:i/>
          <w:color w:val="000000"/>
          <w:spacing w:val="8"/>
          <w:sz w:val="24"/>
        </w:rPr>
        <w:t>, supra</w:t>
      </w:r>
      <w:r>
        <w:rPr>
          <w:rFonts w:ascii="Arial" w:eastAsia="Arial" w:hAnsi="Arial"/>
          <w:color w:val="000000"/>
          <w:spacing w:val="8"/>
          <w:sz w:val="24"/>
        </w:rPr>
        <w:t>, 36 N.Y.2d, at 32.</w:t>
      </w:r>
      <w:bookmarkStart w:id="0" w:name="_GoBack"/>
      <w:bookmarkEnd w:id="0"/>
    </w:p>
    <w:p w14:paraId="54282C44" w14:textId="77777777" w:rsidR="001F76E6" w:rsidRDefault="00B976CB">
      <w:pPr>
        <w:numPr>
          <w:ilvl w:val="0"/>
          <w:numId w:val="1"/>
        </w:numPr>
        <w:tabs>
          <w:tab w:val="clear" w:pos="216"/>
          <w:tab w:val="left" w:pos="288"/>
        </w:tabs>
        <w:spacing w:before="241" w:line="297" w:lineRule="exact"/>
        <w:ind w:left="72"/>
        <w:jc w:val="both"/>
        <w:textAlignment w:val="baseline"/>
        <w:rPr>
          <w:rFonts w:ascii="Arial" w:eastAsia="Arial" w:hAnsi="Arial"/>
          <w:i/>
          <w:color w:val="000000"/>
          <w:spacing w:val="8"/>
          <w:sz w:val="24"/>
        </w:rPr>
      </w:pPr>
      <w:r>
        <w:rPr>
          <w:rFonts w:ascii="Arial" w:eastAsia="Arial" w:hAnsi="Arial"/>
          <w:i/>
          <w:color w:val="000000"/>
          <w:spacing w:val="8"/>
          <w:sz w:val="24"/>
        </w:rPr>
        <w:t>See People v Sanchez</w:t>
      </w:r>
      <w:r>
        <w:rPr>
          <w:rFonts w:ascii="Arial" w:eastAsia="Arial" w:hAnsi="Arial"/>
          <w:color w:val="000000"/>
          <w:spacing w:val="8"/>
          <w:sz w:val="24"/>
        </w:rPr>
        <w:t>, 61 N.Y.2d 1022, 1024 (1984).</w:t>
      </w:r>
    </w:p>
    <w:p w14:paraId="54282C45" w14:textId="77777777" w:rsidR="001F76E6" w:rsidRDefault="00B976CB">
      <w:pPr>
        <w:numPr>
          <w:ilvl w:val="0"/>
          <w:numId w:val="1"/>
        </w:numPr>
        <w:tabs>
          <w:tab w:val="clear" w:pos="216"/>
          <w:tab w:val="left" w:pos="288"/>
        </w:tabs>
        <w:spacing w:before="236" w:line="297" w:lineRule="exact"/>
        <w:ind w:left="72"/>
        <w:jc w:val="both"/>
        <w:textAlignment w:val="baseline"/>
        <w:rPr>
          <w:rFonts w:ascii="Arial" w:eastAsia="Arial" w:hAnsi="Arial"/>
          <w:i/>
          <w:color w:val="000000"/>
          <w:spacing w:val="8"/>
          <w:sz w:val="24"/>
        </w:rPr>
      </w:pPr>
      <w:r>
        <w:rPr>
          <w:rFonts w:ascii="Arial" w:eastAsia="Arial" w:hAnsi="Arial"/>
          <w:i/>
          <w:color w:val="000000"/>
          <w:spacing w:val="8"/>
          <w:sz w:val="24"/>
        </w:rPr>
        <w:t>See People v Morris</w:t>
      </w:r>
      <w:r>
        <w:rPr>
          <w:rFonts w:ascii="Arial" w:eastAsia="Arial" w:hAnsi="Arial"/>
          <w:color w:val="000000"/>
          <w:spacing w:val="8"/>
          <w:sz w:val="24"/>
        </w:rPr>
        <w:t>, 36 N.Y.2d 877 (1975).</w:t>
      </w:r>
    </w:p>
    <w:p w14:paraId="54282C46" w14:textId="77777777" w:rsidR="001F76E6" w:rsidRDefault="00B976CB">
      <w:pPr>
        <w:numPr>
          <w:ilvl w:val="0"/>
          <w:numId w:val="1"/>
        </w:numPr>
        <w:tabs>
          <w:tab w:val="clear" w:pos="216"/>
          <w:tab w:val="left" w:pos="288"/>
        </w:tabs>
        <w:spacing w:before="245" w:line="297" w:lineRule="exact"/>
        <w:ind w:left="72"/>
        <w:jc w:val="both"/>
        <w:textAlignment w:val="baseline"/>
        <w:rPr>
          <w:rFonts w:ascii="Arial" w:eastAsia="Arial" w:hAnsi="Arial"/>
          <w:i/>
          <w:color w:val="000000"/>
          <w:spacing w:val="8"/>
          <w:sz w:val="24"/>
        </w:rPr>
      </w:pPr>
      <w:r>
        <w:rPr>
          <w:rFonts w:ascii="Arial" w:eastAsia="Arial" w:hAnsi="Arial"/>
          <w:i/>
          <w:color w:val="000000"/>
          <w:spacing w:val="8"/>
          <w:sz w:val="24"/>
        </w:rPr>
        <w:t>See People v Kennedy</w:t>
      </w:r>
      <w:r>
        <w:rPr>
          <w:rFonts w:ascii="Arial" w:eastAsia="Arial" w:hAnsi="Arial"/>
          <w:color w:val="000000"/>
          <w:spacing w:val="8"/>
          <w:sz w:val="24"/>
        </w:rPr>
        <w:t xml:space="preserve">, 47 N.Y.2d </w:t>
      </w:r>
      <w:r>
        <w:rPr>
          <w:rFonts w:ascii="Arial" w:eastAsia="Arial" w:hAnsi="Arial"/>
          <w:color w:val="000000"/>
          <w:spacing w:val="8"/>
          <w:sz w:val="24"/>
        </w:rPr>
        <w:t>196 (1979).</w:t>
      </w:r>
    </w:p>
    <w:sectPr w:rsidR="001F76E6">
      <w:pgSz w:w="12240" w:h="15840"/>
      <w:pgMar w:top="1460" w:right="2132" w:bottom="4584" w:left="2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249F8"/>
    <w:multiLevelType w:val="multilevel"/>
    <w:tmpl w:val="FAA07600"/>
    <w:lvl w:ilvl="0">
      <w:start w:val="1"/>
      <w:numFmt w:val="decimal"/>
      <w:lvlText w:val="%1."/>
      <w:lvlJc w:val="left"/>
      <w:pPr>
        <w:tabs>
          <w:tab w:val="left" w:pos="216"/>
        </w:tabs>
      </w:pPr>
      <w:rPr>
        <w:rFonts w:ascii="Arial" w:eastAsia="Arial" w:hAnsi="Arial"/>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F76E6"/>
    <w:rsid w:val="001F76E6"/>
    <w:rsid w:val="00B9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2C27"/>
  <w15:docId w15:val="{75E7723F-3AF0-4292-BBCB-A6C90F5B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2017-12-28T20:13:00Z</dcterms:created>
  <dcterms:modified xsi:type="dcterms:W3CDTF">2017-12-28T20:13:00Z</dcterms:modified>
</cp:coreProperties>
</file>