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300" w:lineRule="exact"/>
        <w:ind w:right="0" w:left="0" w:firstLine="0"/>
        <w:jc w:val="center"/>
        <w:textAlignment w:val="baseline"/>
        <w:rPr>
          <w:rFonts w:ascii="Arial" w:hAnsi="Arial" w:eastAsia="Arial"/>
          <w:b w:val="true"/>
          <w:strike w:val="false"/>
          <w:color w:val="000000"/>
          <w:spacing w:val="6"/>
          <w:w w:val="100"/>
          <w:sz w:val="26"/>
          <w:vertAlign w:val="baseline"/>
          <w:lang w:val="en-US"/>
        </w:rPr>
      </w:pPr>
      <w:r>
        <w:rPr>
          <w:rFonts w:ascii="Arial" w:hAnsi="Arial" w:eastAsia="Arial"/>
          <w:b w:val="true"/>
          <w:strike w:val="false"/>
          <w:color w:val="000000"/>
          <w:spacing w:val="6"/>
          <w:w w:val="100"/>
          <w:sz w:val="26"/>
          <w:vertAlign w:val="baseline"/>
          <w:lang w:val="en-US"/>
        </w:rPr>
        <w:t xml:space="preserve">Defendant Not Testifying</w:t>
      </w:r>
    </w:p>
    <w:p>
      <w:pPr>
        <w:pageBreakBefore w:val="false"/>
        <w:spacing w:before="334" w:after="0" w:line="323"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The fact that the defendant did not testify is not a factor from which any inference unfavorable to the defendant may be drawn.</w:t>
      </w:r>
      <w:r>
        <w:rPr>
          <w:rFonts w:ascii="Arial" w:hAnsi="Arial" w:eastAsia="Arial"/>
          <w:strike w:val="false"/>
          <w:color w:val="000000"/>
          <w:spacing w:val="0"/>
          <w:w w:val="100"/>
          <w:sz w:val="16"/>
          <w:vertAlign w:val="baseline"/>
          <w:lang w:val="en-US"/>
        </w:rPr>
        <w:t xml:space="preserve">1</w:t>
      </w:r>
    </w:p>
    <w:p>
      <w:pPr>
        <w:sectPr>
          <w:type w:val="nextPage"/>
          <w:pgSz w:w="12240" w:h="15840" w:orient="portrait"/>
          <w:pgMar w:bottom="12644" w:top="1460" w:right="2160" w:left="2160" w:header="720" w:footer="720"/>
          <w:titlePg w:val="false"/>
          <w:textDirection w:val="lrTb"/>
        </w:sectPr>
      </w:pPr>
    </w:p>
    <w:p>
      <w:pPr>
        <w:pageBreakBefore w:val="false"/>
        <w:spacing w:before="0" w:after="9017" w:line="304" w:lineRule="exact"/>
        <w:ind w:right="0" w:left="72" w:firstLine="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1. CPL 300.10(2). The statute specifies that the charge must be given “[u]pon request of a defendant who did not testify in his own behalf, but not otherwise.” Appellate courts have cautioned that this statutory charge should be given only upon the defendant's request, and when given, the charge should be limited to the statutory language. </w:t>
      </w:r>
      <w:r>
        <w:rPr>
          <w:rFonts w:ascii="Arial" w:hAnsi="Arial" w:eastAsia="Arial"/>
          <w:i w:val="true"/>
          <w:strike w:val="false"/>
          <w:color w:val="000000"/>
          <w:spacing w:val="4"/>
          <w:w w:val="100"/>
          <w:sz w:val="24"/>
          <w:vertAlign w:val="baseline"/>
          <w:lang w:val="en-US"/>
        </w:rPr>
        <w:t xml:space="preserve">People v. Koberstein</w:t>
      </w:r>
      <w:r>
        <w:rPr>
          <w:rFonts w:ascii="Arial" w:hAnsi="Arial" w:eastAsia="Arial"/>
          <w:strike w:val="false"/>
          <w:color w:val="000000"/>
          <w:spacing w:val="4"/>
          <w:w w:val="100"/>
          <w:sz w:val="24"/>
          <w:vertAlign w:val="baseline"/>
          <w:lang w:val="en-US"/>
        </w:rPr>
        <w:t xml:space="preserve">, 66 N.Y.2d 989 (1985); </w:t>
      </w:r>
      <w:r>
        <w:rPr>
          <w:rFonts w:ascii="Arial" w:hAnsi="Arial" w:eastAsia="Arial"/>
          <w:i w:val="true"/>
          <w:strike w:val="false"/>
          <w:color w:val="000000"/>
          <w:spacing w:val="4"/>
          <w:w w:val="100"/>
          <w:sz w:val="24"/>
          <w:vertAlign w:val="baseline"/>
          <w:lang w:val="en-US"/>
        </w:rPr>
        <w:t xml:space="preserve">People v. Vereen</w:t>
      </w:r>
      <w:r>
        <w:rPr>
          <w:rFonts w:ascii="Arial" w:hAnsi="Arial" w:eastAsia="Arial"/>
          <w:strike w:val="false"/>
          <w:color w:val="000000"/>
          <w:spacing w:val="4"/>
          <w:w w:val="100"/>
          <w:sz w:val="24"/>
          <w:vertAlign w:val="baseline"/>
          <w:lang w:val="en-US"/>
        </w:rPr>
        <w:t xml:space="preserve">, 45 N.Y.2d 856 (1978); </w:t>
      </w:r>
      <w:r>
        <w:rPr>
          <w:rFonts w:ascii="Arial" w:hAnsi="Arial" w:eastAsia="Arial"/>
          <w:i w:val="true"/>
          <w:strike w:val="false"/>
          <w:color w:val="000000"/>
          <w:spacing w:val="4"/>
          <w:w w:val="100"/>
          <w:sz w:val="24"/>
          <w:vertAlign w:val="baseline"/>
          <w:lang w:val="en-US"/>
        </w:rPr>
        <w:t xml:space="preserve">People v. Cooper</w:t>
      </w:r>
      <w:r>
        <w:rPr>
          <w:rFonts w:ascii="Arial" w:hAnsi="Arial" w:eastAsia="Arial"/>
          <w:strike w:val="false"/>
          <w:color w:val="000000"/>
          <w:spacing w:val="4"/>
          <w:w w:val="100"/>
          <w:sz w:val="24"/>
          <w:vertAlign w:val="baseline"/>
          <w:lang w:val="en-US"/>
        </w:rPr>
        <w:t xml:space="preserve">, 300 A.D.2d 4 (1</w:t>
      </w:r>
      <w:r>
        <w:rPr>
          <w:rFonts w:ascii="Arial" w:hAnsi="Arial" w:eastAsia="Arial"/>
          <w:strike w:val="false"/>
          <w:color w:val="000000"/>
          <w:spacing w:val="4"/>
          <w:w w:val="100"/>
          <w:sz w:val="24"/>
          <w:vertAlign w:val="superscript"/>
          <w:lang w:val="en-US"/>
        </w:rPr>
        <w:t xml:space="preserve">st</w:t>
      </w:r>
      <w:r>
        <w:rPr>
          <w:rFonts w:ascii="Arial" w:hAnsi="Arial" w:eastAsia="Arial"/>
          <w:strike w:val="false"/>
          <w:color w:val="000000"/>
          <w:spacing w:val="4"/>
          <w:w w:val="100"/>
          <w:sz w:val="24"/>
          <w:vertAlign w:val="baseline"/>
          <w:lang w:val="en-US"/>
        </w:rPr>
        <w:t xml:space="preserve"> Dept. 2002); </w:t>
      </w:r>
      <w:r>
        <w:rPr>
          <w:rFonts w:ascii="Arial" w:hAnsi="Arial" w:eastAsia="Arial"/>
          <w:i w:val="true"/>
          <w:strike w:val="false"/>
          <w:color w:val="000000"/>
          <w:spacing w:val="4"/>
          <w:w w:val="100"/>
          <w:sz w:val="24"/>
          <w:vertAlign w:val="baseline"/>
          <w:lang w:val="en-US"/>
        </w:rPr>
        <w:t xml:space="preserve">People v. Clearwater</w:t>
      </w:r>
      <w:r>
        <w:rPr>
          <w:rFonts w:ascii="Arial" w:hAnsi="Arial" w:eastAsia="Arial"/>
          <w:strike w:val="false"/>
          <w:color w:val="000000"/>
          <w:spacing w:val="4"/>
          <w:w w:val="100"/>
          <w:sz w:val="24"/>
          <w:vertAlign w:val="baseline"/>
          <w:lang w:val="en-US"/>
        </w:rPr>
        <w:t xml:space="preserve">, 269 A.D.2d 462 (2</w:t>
      </w:r>
      <w:r>
        <w:rPr>
          <w:rFonts w:ascii="Arial" w:hAnsi="Arial" w:eastAsia="Arial"/>
          <w:strike w:val="false"/>
          <w:color w:val="000000"/>
          <w:spacing w:val="4"/>
          <w:w w:val="100"/>
          <w:sz w:val="24"/>
          <w:vertAlign w:val="superscript"/>
          <w:lang w:val="en-US"/>
        </w:rPr>
        <w:t xml:space="preserve">nd</w:t>
      </w:r>
      <w:r>
        <w:rPr>
          <w:rFonts w:ascii="Arial" w:hAnsi="Arial" w:eastAsia="Arial"/>
          <w:strike w:val="false"/>
          <w:color w:val="000000"/>
          <w:spacing w:val="4"/>
          <w:w w:val="100"/>
          <w:sz w:val="24"/>
          <w:vertAlign w:val="baseline"/>
          <w:lang w:val="en-US"/>
        </w:rPr>
        <w:t xml:space="preserve"> Dept. 2000)</w:t>
      </w:r>
      <w:r>
        <w:rPr>
          <w:rFonts w:ascii="Arial" w:hAnsi="Arial" w:eastAsia="Arial"/>
          <w:i w:val="true"/>
          <w:strike w:val="false"/>
          <w:color w:val="000000"/>
          <w:spacing w:val="4"/>
          <w:w w:val="100"/>
          <w:sz w:val="24"/>
          <w:vertAlign w:val="baseline"/>
          <w:lang w:val="en-US"/>
        </w:rPr>
        <w:t xml:space="preserve">; People v. Stinson</w:t>
      </w:r>
      <w:r>
        <w:rPr>
          <w:rFonts w:ascii="Arial" w:hAnsi="Arial" w:eastAsia="Arial"/>
          <w:strike w:val="false"/>
          <w:color w:val="000000"/>
          <w:spacing w:val="4"/>
          <w:w w:val="100"/>
          <w:sz w:val="24"/>
          <w:vertAlign w:val="baseline"/>
          <w:lang w:val="en-US"/>
        </w:rPr>
        <w:t xml:space="preserve">, 186 A.D.2d 23 (1</w:t>
      </w:r>
      <w:r>
        <w:rPr>
          <w:rFonts w:ascii="Arial" w:hAnsi="Arial" w:eastAsia="Arial"/>
          <w:strike w:val="false"/>
          <w:color w:val="000000"/>
          <w:spacing w:val="4"/>
          <w:w w:val="100"/>
          <w:sz w:val="24"/>
          <w:vertAlign w:val="superscript"/>
          <w:lang w:val="en-US"/>
        </w:rPr>
        <w:t xml:space="preserve">st</w:t>
      </w:r>
      <w:r>
        <w:rPr>
          <w:rFonts w:ascii="Arial" w:hAnsi="Arial" w:eastAsia="Arial"/>
          <w:strike w:val="false"/>
          <w:color w:val="000000"/>
          <w:spacing w:val="4"/>
          <w:w w:val="100"/>
          <w:sz w:val="24"/>
          <w:vertAlign w:val="baseline"/>
          <w:lang w:val="en-US"/>
        </w:rPr>
        <w:t xml:space="preserve"> Dept. 1992); </w:t>
      </w:r>
      <w:r>
        <w:rPr>
          <w:rFonts w:ascii="Arial" w:hAnsi="Arial" w:eastAsia="Arial"/>
          <w:i w:val="true"/>
          <w:strike w:val="false"/>
          <w:color w:val="000000"/>
          <w:spacing w:val="4"/>
          <w:w w:val="100"/>
          <w:sz w:val="24"/>
          <w:vertAlign w:val="baseline"/>
          <w:lang w:val="en-US"/>
        </w:rPr>
        <w:t xml:space="preserve">People v. Morton</w:t>
      </w:r>
      <w:r>
        <w:rPr>
          <w:rFonts w:ascii="Arial" w:hAnsi="Arial" w:eastAsia="Arial"/>
          <w:strike w:val="false"/>
          <w:color w:val="000000"/>
          <w:spacing w:val="4"/>
          <w:w w:val="100"/>
          <w:sz w:val="24"/>
          <w:vertAlign w:val="baseline"/>
          <w:lang w:val="en-US"/>
        </w:rPr>
        <w:t xml:space="preserve">, 174 A.D.2d 1019 (4</w:t>
      </w:r>
      <w:r>
        <w:rPr>
          <w:rFonts w:ascii="Arial" w:hAnsi="Arial" w:eastAsia="Arial"/>
          <w:strike w:val="false"/>
          <w:color w:val="000000"/>
          <w:spacing w:val="4"/>
          <w:w w:val="100"/>
          <w:sz w:val="24"/>
          <w:vertAlign w:val="superscript"/>
          <w:lang w:val="en-US"/>
        </w:rPr>
        <w:t xml:space="preserve">th</w:t>
      </w:r>
      <w:r>
        <w:rPr>
          <w:rFonts w:ascii="Arial" w:hAnsi="Arial" w:eastAsia="Arial"/>
          <w:strike w:val="false"/>
          <w:color w:val="000000"/>
          <w:spacing w:val="4"/>
          <w:w w:val="100"/>
          <w:sz w:val="14"/>
          <w:vertAlign w:val="baseline"/>
          <w:lang w:val="en-US"/>
        </w:rPr>
        <w:t xml:space="preserve"> </w:t>
      </w:r>
      <w:r>
        <w:rPr>
          <w:rFonts w:ascii="Arial" w:hAnsi="Arial" w:eastAsia="Arial"/>
          <w:strike w:val="false"/>
          <w:color w:val="000000"/>
          <w:spacing w:val="4"/>
          <w:w w:val="100"/>
          <w:sz w:val="24"/>
          <w:vertAlign w:val="baseline"/>
          <w:lang w:val="en-US"/>
        </w:rPr>
        <w:t xml:space="preserve">Dept. 1991). </w:t>
      </w:r>
      <w:r>
        <w:rPr>
          <w:rFonts w:ascii="Arial" w:hAnsi="Arial" w:eastAsia="Arial"/>
          <w:i w:val="true"/>
          <w:strike w:val="false"/>
          <w:color w:val="000000"/>
          <w:spacing w:val="4"/>
          <w:w w:val="100"/>
          <w:sz w:val="24"/>
          <w:vertAlign w:val="baseline"/>
          <w:lang w:val="en-US"/>
        </w:rPr>
        <w:t xml:space="preserve">See also People v. Rogers</w:t>
      </w:r>
      <w:r>
        <w:rPr>
          <w:rFonts w:ascii="Arial" w:hAnsi="Arial" w:eastAsia="Arial"/>
          <w:strike w:val="false"/>
          <w:color w:val="000000"/>
          <w:spacing w:val="4"/>
          <w:w w:val="100"/>
          <w:sz w:val="24"/>
          <w:vertAlign w:val="baseline"/>
          <w:lang w:val="en-US"/>
        </w:rPr>
        <w:t xml:space="preserve">, 48 N.Y.2d 167, 174 n 3 (1979) ("it is unnecessary and improper to qualify the charge with words indicating that it is given at defendant's request").</w:t>
      </w:r>
    </w:p>
    <w:p>
      <w:pPr>
        <w:spacing w:before="0" w:after="9017" w:line="304" w:lineRule="exact"/>
        <w:sectPr>
          <w:type w:val="nextPage"/>
          <w:pgSz w:w="12240" w:h="15840" w:orient="portrait"/>
          <w:pgMar w:bottom="1044" w:top="1440" w:right="2165" w:left="2108" w:header="720" w:footer="720"/>
          <w:titlePg w:val="false"/>
          <w:textDirection w:val="lrTb"/>
        </w:sectPr>
      </w:pPr>
    </w:p>
    <w:p>
      <w:pPr>
        <w:pageBreakBefore w:val="false"/>
        <w:spacing w:before="2" w:after="0" w:line="270"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sectPr>
      <w:type w:val="continuous"/>
      <w:pgSz w:w="12240" w:h="15840" w:orient="portrait"/>
      <w:pgMar w:bottom="1044" w:top="1440" w:right="2212" w:left="210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