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8BFF" w14:textId="5EDA9F85" w:rsidR="00595B0E" w:rsidRPr="00595B0E" w:rsidRDefault="00595B0E" w:rsidP="002C3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B0E">
        <w:rPr>
          <w:rFonts w:ascii="Times New Roman" w:hAnsi="Times New Roman" w:cs="Times New Roman"/>
          <w:b/>
          <w:bCs/>
          <w:sz w:val="28"/>
          <w:szCs w:val="28"/>
        </w:rPr>
        <w:t xml:space="preserve">Lawful </w:t>
      </w:r>
      <w:r w:rsidR="00262829">
        <w:rPr>
          <w:rFonts w:ascii="Times New Roman" w:hAnsi="Times New Roman" w:cs="Times New Roman"/>
          <w:b/>
          <w:bCs/>
          <w:sz w:val="28"/>
          <w:szCs w:val="28"/>
        </w:rPr>
        <w:t xml:space="preserve">Stop, </w:t>
      </w:r>
      <w:r w:rsidRPr="00595B0E">
        <w:rPr>
          <w:rFonts w:ascii="Times New Roman" w:hAnsi="Times New Roman" w:cs="Times New Roman"/>
          <w:b/>
          <w:bCs/>
          <w:sz w:val="28"/>
          <w:szCs w:val="28"/>
        </w:rPr>
        <w:t>Arrest, Search or Seizure</w:t>
      </w:r>
      <w:r w:rsidR="002C3214">
        <w:rPr>
          <w:rFonts w:ascii="Times New Roman" w:hAnsi="Times New Roman" w:cs="Times New Roman"/>
          <w:b/>
          <w:bCs/>
          <w:sz w:val="28"/>
          <w:szCs w:val="28"/>
        </w:rPr>
        <w:t xml:space="preserve"> Question</w:t>
      </w:r>
    </w:p>
    <w:p w14:paraId="2B912707" w14:textId="77777777" w:rsidR="00595B0E" w:rsidRPr="003412CF" w:rsidRDefault="00595B0E" w:rsidP="00595B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13ED0" w14:textId="1D860140" w:rsidR="00595B0E" w:rsidRPr="00AA2894" w:rsidRDefault="002B243F" w:rsidP="002B243F">
      <w:pPr>
        <w:ind w:left="720" w:righ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 w:rsidR="00262829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Absent the prosecution of a crime that requires </w:t>
      </w:r>
      <w:r w:rsidR="009F4AE2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a determination of whether an officer was performing a “lawful duty” </w:t>
      </w:r>
      <w:r w:rsidR="00131E98" w:rsidRPr="00AA2894">
        <w:rPr>
          <w:rFonts w:ascii="Times New Roman" w:hAnsi="Times New Roman" w:cs="Times New Roman"/>
          <w:i/>
          <w:iCs/>
          <w:sz w:val="24"/>
          <w:szCs w:val="24"/>
        </w:rPr>
        <w:t>involving</w:t>
      </w:r>
      <w:r w:rsidR="009F4AE2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 a stop, arrest, search or seizure </w:t>
      </w:r>
      <w:r w:rsidR="00982B50" w:rsidRPr="00AA2894">
        <w:rPr>
          <w:rFonts w:ascii="Times New Roman" w:hAnsi="Times New Roman" w:cs="Times New Roman"/>
          <w:i/>
          <w:iCs/>
          <w:sz w:val="24"/>
          <w:szCs w:val="24"/>
        </w:rPr>
        <w:t>[e.g. Penal Law § 120.05(3)],</w:t>
      </w:r>
      <w:r w:rsidR="006A6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0113">
        <w:rPr>
          <w:rFonts w:ascii="Times New Roman" w:hAnsi="Times New Roman" w:cs="Times New Roman"/>
          <w:i/>
          <w:iCs/>
          <w:sz w:val="24"/>
          <w:szCs w:val="24"/>
        </w:rPr>
        <w:t xml:space="preserve">evidence of </w:t>
      </w:r>
      <w:r w:rsidR="00131E98" w:rsidRPr="00AA2894">
        <w:rPr>
          <w:rFonts w:ascii="Times New Roman" w:hAnsi="Times New Roman" w:cs="Times New Roman"/>
          <w:i/>
          <w:iCs/>
          <w:sz w:val="24"/>
          <w:szCs w:val="24"/>
        </w:rPr>
        <w:t>the lawfulness of such conduct</w:t>
      </w:r>
      <w:r w:rsidR="006A641E">
        <w:rPr>
          <w:rFonts w:ascii="Times New Roman" w:hAnsi="Times New Roman" w:cs="Times New Roman"/>
          <w:i/>
          <w:iCs/>
          <w:sz w:val="24"/>
          <w:szCs w:val="24"/>
        </w:rPr>
        <w:t xml:space="preserve"> is normally not admissible and the lawfulness of such conduct</w:t>
      </w:r>
      <w:r w:rsidR="00131E98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AE2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is not a question for the jury.  </w:t>
      </w:r>
      <w:r w:rsidRPr="00AA2894">
        <w:rPr>
          <w:rFonts w:ascii="Times New Roman" w:hAnsi="Times New Roman" w:cs="Times New Roman"/>
          <w:i/>
          <w:iCs/>
          <w:sz w:val="24"/>
          <w:szCs w:val="24"/>
        </w:rPr>
        <w:t>People v Scott, 145 AD3d 555 [1st Dept 2016</w:t>
      </w:r>
      <w:r w:rsidR="00C91DB5" w:rsidRPr="00AA2894">
        <w:rPr>
          <w:rFonts w:ascii="Times New Roman" w:hAnsi="Times New Roman" w:cs="Times New Roman"/>
          <w:i/>
          <w:iCs/>
          <w:sz w:val="24"/>
          <w:szCs w:val="24"/>
        </w:rPr>
        <w:t>].</w:t>
      </w:r>
    </w:p>
    <w:p w14:paraId="29572558" w14:textId="77777777" w:rsidR="00262829" w:rsidRPr="00AA2894" w:rsidRDefault="00262829" w:rsidP="002B243F">
      <w:pPr>
        <w:ind w:left="720" w:righ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7CFBD6" w14:textId="2C0377C5" w:rsidR="00262829" w:rsidRPr="00AA2894" w:rsidRDefault="00262829" w:rsidP="00262829">
      <w:pPr>
        <w:shd w:val="clear" w:color="auto" w:fill="FFFFFF"/>
        <w:ind w:left="720" w:right="5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2894">
        <w:rPr>
          <w:rFonts w:ascii="Times New Roman" w:hAnsi="Times New Roman" w:cs="Times New Roman"/>
          <w:i/>
          <w:iCs/>
          <w:sz w:val="24"/>
          <w:szCs w:val="24"/>
        </w:rPr>
        <w:t>In the words of Scott at 555-56:</w:t>
      </w:r>
      <w:r w:rsidRPr="00AA28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"The court did not err by instructing the jury that the lawfulness of the police stop of defendant was not a question for the jury to decide (see e.g. People v Murphy, 284 AD2d 120 [1st Dept 2001]). The court's brief and neutral instruction. . . was suitably balanced by other instructions relating to credibility. Nothing in the instruction suggested that the jury should credit the police testimony, or that the court had made a finding in that regard."</w:t>
      </w:r>
    </w:p>
    <w:p w14:paraId="258372E5" w14:textId="77777777" w:rsidR="009F4AE2" w:rsidRPr="00AA2894" w:rsidRDefault="009F4AE2" w:rsidP="00262829">
      <w:pPr>
        <w:shd w:val="clear" w:color="auto" w:fill="FFFFFF"/>
        <w:ind w:left="720" w:right="5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7AB4D2B" w14:textId="58B2634D" w:rsidR="009F4AE2" w:rsidRDefault="006337D6" w:rsidP="009F4AE2">
      <w:pPr>
        <w:ind w:left="720" w:righ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Should a</w:t>
      </w:r>
      <w:r w:rsidR="009F4AE2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 court</w:t>
      </w:r>
      <w:r w:rsidR="00FE7A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AE2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decide that there is reason to believe from the evidence </w:t>
      </w:r>
      <w:r w:rsidR="00C417A8">
        <w:rPr>
          <w:rFonts w:ascii="Times New Roman" w:hAnsi="Times New Roman" w:cs="Times New Roman"/>
          <w:i/>
          <w:iCs/>
          <w:sz w:val="24"/>
          <w:szCs w:val="24"/>
        </w:rPr>
        <w:t xml:space="preserve">that is </w:t>
      </w:r>
      <w:r w:rsidR="009F4AE2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presented </w:t>
      </w:r>
      <w:r w:rsidR="00C417A8">
        <w:rPr>
          <w:rFonts w:ascii="Times New Roman" w:hAnsi="Times New Roman" w:cs="Times New Roman"/>
          <w:i/>
          <w:iCs/>
          <w:sz w:val="24"/>
          <w:szCs w:val="24"/>
        </w:rPr>
        <w:t xml:space="preserve">or other conduct during the trial </w:t>
      </w:r>
      <w:r w:rsidR="009F4AE2" w:rsidRPr="00AA2894">
        <w:rPr>
          <w:rFonts w:ascii="Times New Roman" w:hAnsi="Times New Roman" w:cs="Times New Roman"/>
          <w:i/>
          <w:iCs/>
          <w:sz w:val="24"/>
          <w:szCs w:val="24"/>
        </w:rPr>
        <w:t xml:space="preserve">that the jury may consider </w:t>
      </w:r>
      <w:r w:rsidR="007703B5">
        <w:rPr>
          <w:rFonts w:ascii="Times New Roman" w:hAnsi="Times New Roman" w:cs="Times New Roman"/>
          <w:i/>
          <w:iCs/>
          <w:sz w:val="24"/>
          <w:szCs w:val="24"/>
        </w:rPr>
        <w:t>the lawfulness of such conduct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703B5">
        <w:rPr>
          <w:rFonts w:ascii="Times New Roman" w:hAnsi="Times New Roman" w:cs="Times New Roman"/>
          <w:i/>
          <w:iCs/>
          <w:sz w:val="24"/>
          <w:szCs w:val="24"/>
        </w:rPr>
        <w:t>the court may give the following instruction.</w:t>
      </w:r>
    </w:p>
    <w:p w14:paraId="43A0AF52" w14:textId="77777777" w:rsidR="00FD425F" w:rsidRDefault="00FD425F" w:rsidP="009F4AE2">
      <w:pPr>
        <w:ind w:left="720" w:righ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588C5D" w14:textId="77777777" w:rsidR="00383208" w:rsidRDefault="00383208" w:rsidP="00383208">
      <w:pPr>
        <w:ind w:left="720" w:right="7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14:ligatures w14:val="none"/>
        </w:rPr>
      </w:pPr>
      <w:r w:rsidRPr="00A33737">
        <w:rPr>
          <w:rFonts w:ascii="Times New Roman" w:hAnsi="Times New Roman" w:cs="Times New Roman"/>
          <w:i/>
          <w:iCs/>
          <w:sz w:val="24"/>
          <w:szCs w:val="24"/>
        </w:rPr>
        <w:t>Caveat: While the lawfulness of a stop, arrest, search or seizure is not an issue for the jury, the credibility of the officer is. Thus, for example, the officer’s testimony at a suppression hearing that the Suppression Court does not credit is a subject for impeachment.  See Guide to NY Evidence rule 6.16(3)(b), Impeachment of Law Enforcement Officer [“</w:t>
      </w:r>
      <w:r w:rsidRPr="00A3373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14:ligatures w14:val="none"/>
        </w:rPr>
        <w:t>A judicial determination that a law enforcement witness testified falsely in a proceeding, while not binding on the question of the witness’s credibility in the proceeding in which the witness is testifying, constitutes a good faith basis for an impeachment inquiry of that witness with respect to that determination”].</w:t>
      </w:r>
    </w:p>
    <w:p w14:paraId="56D06C64" w14:textId="77777777" w:rsidR="00EF0ED3" w:rsidRDefault="00EF0ED3" w:rsidP="00383208">
      <w:pPr>
        <w:ind w:left="720" w:right="7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14:ligatures w14:val="none"/>
        </w:rPr>
      </w:pPr>
    </w:p>
    <w:p w14:paraId="35B35D78" w14:textId="1D8AE2B0" w:rsidR="00EF0ED3" w:rsidRPr="00EF0ED3" w:rsidRDefault="00EF0ED3" w:rsidP="00383208">
      <w:pPr>
        <w:ind w:left="720" w:right="72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14:ligatures w14:val="none"/>
        </w:rPr>
      </w:pPr>
      <w:r w:rsidRPr="00EF0ED3">
        <w:rPr>
          <w:i/>
          <w:iCs/>
        </w:rPr>
        <w:t>The instruction on Credibility should precede the giving of this instruction.</w:t>
      </w:r>
    </w:p>
    <w:p w14:paraId="7FF52E81" w14:textId="582B92D3" w:rsidR="00262829" w:rsidRPr="003412CF" w:rsidRDefault="00262829" w:rsidP="000E6CCF">
      <w:pPr>
        <w:ind w:left="720" w:righ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</w:t>
      </w:r>
    </w:p>
    <w:p w14:paraId="32493D48" w14:textId="77777777" w:rsidR="00383208" w:rsidRDefault="00383208" w:rsidP="00595B0E">
      <w:pPr>
        <w:jc w:val="both"/>
        <w:rPr>
          <w:rFonts w:ascii="Arial" w:hAnsi="Arial" w:cs="Arial"/>
          <w:sz w:val="28"/>
          <w:szCs w:val="28"/>
        </w:rPr>
      </w:pPr>
    </w:p>
    <w:p w14:paraId="3925D88B" w14:textId="694AEEB0" w:rsidR="00186628" w:rsidRPr="00B630FF" w:rsidRDefault="009F4AE2" w:rsidP="006F7BFA">
      <w:pPr>
        <w:spacing w:before="10"/>
        <w:jc w:val="both"/>
        <w:rPr>
          <w:rFonts w:ascii="Arial" w:hAnsi="Arial" w:cs="Arial"/>
          <w:sz w:val="28"/>
          <w:szCs w:val="28"/>
        </w:rPr>
      </w:pPr>
      <w:r w:rsidRPr="00B630FF">
        <w:rPr>
          <w:rFonts w:ascii="Arial" w:hAnsi="Arial" w:cs="Arial"/>
          <w:sz w:val="28"/>
          <w:szCs w:val="28"/>
        </w:rPr>
        <w:t>[</w:t>
      </w:r>
      <w:r w:rsidR="00595D13" w:rsidRPr="00B630FF">
        <w:rPr>
          <w:rFonts w:ascii="Arial" w:hAnsi="Arial" w:cs="Arial"/>
          <w:sz w:val="28"/>
          <w:szCs w:val="28"/>
        </w:rPr>
        <w:t>Members of the jury,</w:t>
      </w:r>
      <w:r w:rsidRPr="00B630FF">
        <w:rPr>
          <w:rFonts w:ascii="Arial" w:hAnsi="Arial" w:cs="Arial"/>
          <w:sz w:val="28"/>
          <w:szCs w:val="28"/>
        </w:rPr>
        <w:t>]</w:t>
      </w:r>
      <w:r w:rsidR="00595D13" w:rsidRPr="00B630FF">
        <w:rPr>
          <w:rFonts w:ascii="Arial" w:hAnsi="Arial" w:cs="Arial"/>
          <w:sz w:val="28"/>
          <w:szCs w:val="28"/>
        </w:rPr>
        <w:t xml:space="preserve"> you have (heard evidence of (and/or) seen a video of] </w:t>
      </w:r>
      <w:r w:rsidR="003412CF" w:rsidRPr="00B630FF">
        <w:rPr>
          <w:rFonts w:ascii="Arial" w:hAnsi="Arial" w:cs="Arial"/>
          <w:sz w:val="28"/>
          <w:szCs w:val="28"/>
        </w:rPr>
        <w:t>a police officer’s</w:t>
      </w:r>
      <w:r w:rsidR="00595D13" w:rsidRPr="00B630FF">
        <w:rPr>
          <w:rFonts w:ascii="Arial" w:hAnsi="Arial" w:cs="Arial"/>
          <w:sz w:val="28"/>
          <w:szCs w:val="28"/>
        </w:rPr>
        <w:t xml:space="preserve"> [</w:t>
      </w:r>
      <w:r w:rsidR="00186628" w:rsidRPr="00B630FF">
        <w:rPr>
          <w:rFonts w:ascii="Arial" w:hAnsi="Arial" w:cs="Arial"/>
          <w:sz w:val="28"/>
          <w:szCs w:val="28"/>
        </w:rPr>
        <w:t>(</w:t>
      </w:r>
      <w:r w:rsidR="00186628" w:rsidRPr="00B630FF">
        <w:rPr>
          <w:rFonts w:ascii="Arial" w:hAnsi="Arial" w:cs="Arial"/>
          <w:i/>
          <w:iCs/>
          <w:sz w:val="28"/>
          <w:szCs w:val="28"/>
        </w:rPr>
        <w:t>specify</w:t>
      </w:r>
      <w:r w:rsidR="00186628" w:rsidRPr="00B630FF">
        <w:rPr>
          <w:rFonts w:ascii="Arial" w:hAnsi="Arial" w:cs="Arial"/>
          <w:sz w:val="28"/>
          <w:szCs w:val="28"/>
        </w:rPr>
        <w:t xml:space="preserve">: </w:t>
      </w:r>
      <w:r w:rsidR="00186628" w:rsidRPr="00B630FF">
        <w:rPr>
          <w:rFonts w:ascii="Arial" w:hAnsi="Arial" w:cs="Arial"/>
          <w:i/>
          <w:iCs/>
          <w:sz w:val="28"/>
          <w:szCs w:val="28"/>
        </w:rPr>
        <w:t xml:space="preserve">e.g.: </w:t>
      </w:r>
      <w:r w:rsidR="00186628" w:rsidRPr="00B630FF">
        <w:rPr>
          <w:rFonts w:ascii="Arial" w:hAnsi="Arial" w:cs="Arial"/>
          <w:sz w:val="28"/>
          <w:szCs w:val="28"/>
        </w:rPr>
        <w:t xml:space="preserve">stop, </w:t>
      </w:r>
      <w:r w:rsidR="00595D13" w:rsidRPr="00B630FF">
        <w:rPr>
          <w:rFonts w:ascii="Arial" w:hAnsi="Arial" w:cs="Arial"/>
          <w:sz w:val="28"/>
          <w:szCs w:val="28"/>
        </w:rPr>
        <w:t>arrest</w:t>
      </w:r>
      <w:r w:rsidR="00186628" w:rsidRPr="00B630FF">
        <w:rPr>
          <w:rFonts w:ascii="Arial" w:hAnsi="Arial" w:cs="Arial"/>
          <w:sz w:val="28"/>
          <w:szCs w:val="28"/>
        </w:rPr>
        <w:t>,</w:t>
      </w:r>
      <w:r w:rsidR="00595D13" w:rsidRPr="00B630FF">
        <w:rPr>
          <w:rFonts w:ascii="Arial" w:hAnsi="Arial" w:cs="Arial"/>
          <w:sz w:val="28"/>
          <w:szCs w:val="28"/>
        </w:rPr>
        <w:t xml:space="preserve"> search</w:t>
      </w:r>
      <w:r w:rsidR="00186628" w:rsidRPr="00B630FF">
        <w:rPr>
          <w:rFonts w:ascii="Arial" w:hAnsi="Arial" w:cs="Arial"/>
          <w:sz w:val="28"/>
          <w:szCs w:val="28"/>
        </w:rPr>
        <w:t>, seizure of property</w:t>
      </w:r>
      <w:r w:rsidR="00595D13" w:rsidRPr="00B630FF">
        <w:rPr>
          <w:rFonts w:ascii="Arial" w:hAnsi="Arial" w:cs="Arial"/>
          <w:sz w:val="28"/>
          <w:szCs w:val="28"/>
        </w:rPr>
        <w:t>] of</w:t>
      </w:r>
      <w:r w:rsidR="00186628" w:rsidRPr="00B630FF">
        <w:rPr>
          <w:rFonts w:ascii="Arial" w:hAnsi="Arial" w:cs="Arial"/>
          <w:sz w:val="28"/>
          <w:szCs w:val="28"/>
        </w:rPr>
        <w:t>/from</w:t>
      </w:r>
      <w:r w:rsidR="00595D13" w:rsidRPr="00B630FF">
        <w:rPr>
          <w:rFonts w:ascii="Arial" w:hAnsi="Arial" w:cs="Arial"/>
          <w:sz w:val="28"/>
          <w:szCs w:val="28"/>
        </w:rPr>
        <w:t xml:space="preserve"> the defendant</w:t>
      </w:r>
      <w:r w:rsidR="00186628" w:rsidRPr="00B630FF">
        <w:rPr>
          <w:rFonts w:ascii="Arial" w:hAnsi="Arial" w:cs="Arial"/>
          <w:sz w:val="28"/>
          <w:szCs w:val="28"/>
        </w:rPr>
        <w:t xml:space="preserve">.  </w:t>
      </w:r>
    </w:p>
    <w:p w14:paraId="6A33A71F" w14:textId="77777777" w:rsidR="00186628" w:rsidRPr="00B630FF" w:rsidRDefault="00186628" w:rsidP="00595B0E">
      <w:pPr>
        <w:jc w:val="both"/>
        <w:rPr>
          <w:rFonts w:ascii="Arial" w:hAnsi="Arial" w:cs="Arial"/>
          <w:sz w:val="28"/>
          <w:szCs w:val="28"/>
        </w:rPr>
      </w:pPr>
    </w:p>
    <w:p w14:paraId="26B0AFF0" w14:textId="417D0C41" w:rsidR="00C91DB5" w:rsidRPr="00B630FF" w:rsidRDefault="009F4AE2" w:rsidP="00595B0E">
      <w:pPr>
        <w:jc w:val="both"/>
        <w:rPr>
          <w:rFonts w:ascii="Arial" w:hAnsi="Arial" w:cs="Arial"/>
          <w:sz w:val="28"/>
          <w:szCs w:val="28"/>
        </w:rPr>
      </w:pPr>
      <w:r w:rsidRPr="00B630FF">
        <w:rPr>
          <w:rFonts w:ascii="Arial" w:hAnsi="Arial" w:cs="Arial"/>
          <w:sz w:val="28"/>
          <w:szCs w:val="28"/>
        </w:rPr>
        <w:t>The lawfulness of a</w:t>
      </w:r>
      <w:r w:rsidR="00595D13" w:rsidRPr="00B630FF">
        <w:rPr>
          <w:rFonts w:ascii="Arial" w:hAnsi="Arial" w:cs="Arial"/>
          <w:sz w:val="28"/>
          <w:szCs w:val="28"/>
        </w:rPr>
        <w:t xml:space="preserve"> </w:t>
      </w:r>
      <w:r w:rsidR="00215411" w:rsidRPr="00B630FF">
        <w:rPr>
          <w:rFonts w:ascii="Arial" w:hAnsi="Arial" w:cs="Arial"/>
          <w:sz w:val="28"/>
          <w:szCs w:val="28"/>
        </w:rPr>
        <w:t>[(</w:t>
      </w:r>
      <w:r w:rsidR="00215411" w:rsidRPr="00B630FF">
        <w:rPr>
          <w:rFonts w:ascii="Arial" w:hAnsi="Arial" w:cs="Arial"/>
          <w:i/>
          <w:iCs/>
          <w:sz w:val="28"/>
          <w:szCs w:val="28"/>
        </w:rPr>
        <w:t>specify</w:t>
      </w:r>
      <w:r w:rsidR="00215411" w:rsidRPr="00B630FF">
        <w:rPr>
          <w:rFonts w:ascii="Arial" w:hAnsi="Arial" w:cs="Arial"/>
          <w:sz w:val="28"/>
          <w:szCs w:val="28"/>
        </w:rPr>
        <w:t xml:space="preserve">: </w:t>
      </w:r>
      <w:r w:rsidR="00215411" w:rsidRPr="00B630FF">
        <w:rPr>
          <w:rFonts w:ascii="Arial" w:hAnsi="Arial" w:cs="Arial"/>
          <w:i/>
          <w:iCs/>
          <w:sz w:val="28"/>
          <w:szCs w:val="28"/>
        </w:rPr>
        <w:t xml:space="preserve">e.g.: </w:t>
      </w:r>
      <w:r w:rsidR="00215411" w:rsidRPr="00B630FF">
        <w:rPr>
          <w:rFonts w:ascii="Arial" w:hAnsi="Arial" w:cs="Arial"/>
          <w:sz w:val="28"/>
          <w:szCs w:val="28"/>
        </w:rPr>
        <w:t>stop, arrest, search, seizure of property] of/from the defendant</w:t>
      </w:r>
      <w:r w:rsidRPr="00B630FF">
        <w:rPr>
          <w:rFonts w:ascii="Arial" w:hAnsi="Arial" w:cs="Arial"/>
          <w:sz w:val="28"/>
          <w:szCs w:val="28"/>
        </w:rPr>
        <w:t xml:space="preserve"> is not a question for a jury to decide</w:t>
      </w:r>
      <w:r w:rsidR="00C91DB5" w:rsidRPr="00B630FF">
        <w:rPr>
          <w:rFonts w:ascii="Arial" w:hAnsi="Arial" w:cs="Arial"/>
          <w:sz w:val="28"/>
          <w:szCs w:val="28"/>
        </w:rPr>
        <w:t>.</w:t>
      </w:r>
    </w:p>
    <w:p w14:paraId="1B6C0CDC" w14:textId="77777777" w:rsidR="00C91DB5" w:rsidRPr="00B630FF" w:rsidRDefault="00C91DB5" w:rsidP="00595B0E">
      <w:pPr>
        <w:jc w:val="both"/>
        <w:rPr>
          <w:rFonts w:ascii="Arial" w:hAnsi="Arial" w:cs="Arial"/>
          <w:sz w:val="28"/>
          <w:szCs w:val="28"/>
        </w:rPr>
      </w:pPr>
    </w:p>
    <w:p w14:paraId="167E7F65" w14:textId="798BA464" w:rsidR="00186628" w:rsidRDefault="00C91DB5" w:rsidP="00C62AAF">
      <w:pPr>
        <w:jc w:val="both"/>
        <w:rPr>
          <w:rFonts w:ascii="Arial" w:hAnsi="Arial" w:cs="Arial"/>
          <w:sz w:val="28"/>
          <w:szCs w:val="28"/>
        </w:rPr>
      </w:pPr>
      <w:r w:rsidRPr="00B630FF">
        <w:rPr>
          <w:rFonts w:ascii="Arial" w:hAnsi="Arial" w:cs="Arial"/>
          <w:sz w:val="28"/>
          <w:szCs w:val="28"/>
        </w:rPr>
        <w:lastRenderedPageBreak/>
        <w:t>So</w:t>
      </w:r>
      <w:r w:rsidR="00280875" w:rsidRPr="00B630FF">
        <w:rPr>
          <w:rFonts w:ascii="Arial" w:hAnsi="Arial" w:cs="Arial"/>
          <w:sz w:val="28"/>
          <w:szCs w:val="28"/>
        </w:rPr>
        <w:t>,</w:t>
      </w:r>
      <w:r w:rsidRPr="00B630FF">
        <w:rPr>
          <w:rFonts w:ascii="Arial" w:hAnsi="Arial" w:cs="Arial"/>
          <w:sz w:val="28"/>
          <w:szCs w:val="28"/>
        </w:rPr>
        <w:t xml:space="preserve"> while you may</w:t>
      </w:r>
      <w:r w:rsidR="004D7C2B">
        <w:rPr>
          <w:rFonts w:ascii="Arial" w:hAnsi="Arial" w:cs="Arial"/>
          <w:sz w:val="28"/>
          <w:szCs w:val="28"/>
        </w:rPr>
        <w:t>,</w:t>
      </w:r>
      <w:r w:rsidRPr="00B630FF">
        <w:rPr>
          <w:rFonts w:ascii="Arial" w:hAnsi="Arial" w:cs="Arial"/>
          <w:sz w:val="28"/>
          <w:szCs w:val="28"/>
        </w:rPr>
        <w:t xml:space="preserve"> as I have explained, consider all the evidence presented regarding a witness’s actions in order to evaluate the believability of that witness’s testimony, you must not </w:t>
      </w:r>
      <w:r w:rsidR="00F4590C">
        <w:rPr>
          <w:rFonts w:ascii="Arial" w:hAnsi="Arial" w:cs="Arial"/>
          <w:sz w:val="28"/>
          <w:szCs w:val="28"/>
        </w:rPr>
        <w:t>consider</w:t>
      </w:r>
      <w:r w:rsidR="001F35CD">
        <w:rPr>
          <w:rFonts w:ascii="Arial" w:hAnsi="Arial" w:cs="Arial"/>
          <w:sz w:val="28"/>
          <w:szCs w:val="28"/>
        </w:rPr>
        <w:t xml:space="preserve"> </w:t>
      </w:r>
      <w:r w:rsidRPr="00B630FF">
        <w:rPr>
          <w:rFonts w:ascii="Arial" w:hAnsi="Arial" w:cs="Arial"/>
          <w:sz w:val="28"/>
          <w:szCs w:val="28"/>
        </w:rPr>
        <w:t>whether the [(</w:t>
      </w:r>
      <w:r w:rsidRPr="00B630FF">
        <w:rPr>
          <w:rFonts w:ascii="Arial" w:hAnsi="Arial" w:cs="Arial"/>
          <w:i/>
          <w:iCs/>
          <w:sz w:val="28"/>
          <w:szCs w:val="28"/>
        </w:rPr>
        <w:t>specify</w:t>
      </w:r>
      <w:r w:rsidRPr="00B630FF">
        <w:rPr>
          <w:rFonts w:ascii="Arial" w:hAnsi="Arial" w:cs="Arial"/>
          <w:sz w:val="28"/>
          <w:szCs w:val="28"/>
        </w:rPr>
        <w:t xml:space="preserve">: </w:t>
      </w:r>
      <w:r w:rsidRPr="00B630FF">
        <w:rPr>
          <w:rFonts w:ascii="Arial" w:hAnsi="Arial" w:cs="Arial"/>
          <w:i/>
          <w:iCs/>
          <w:sz w:val="28"/>
          <w:szCs w:val="28"/>
        </w:rPr>
        <w:t xml:space="preserve">e.g.: </w:t>
      </w:r>
      <w:r w:rsidRPr="00B630FF">
        <w:rPr>
          <w:rFonts w:ascii="Arial" w:hAnsi="Arial" w:cs="Arial"/>
          <w:sz w:val="28"/>
          <w:szCs w:val="28"/>
        </w:rPr>
        <w:t>stop, arrest, search, seizure of property] of/from the defendant</w:t>
      </w:r>
      <w:r w:rsidR="00280875" w:rsidRPr="00B630FF">
        <w:rPr>
          <w:rFonts w:ascii="Arial" w:hAnsi="Arial" w:cs="Arial"/>
          <w:sz w:val="28"/>
          <w:szCs w:val="28"/>
        </w:rPr>
        <w:t xml:space="preserve"> was lawful.  </w:t>
      </w:r>
      <w:r w:rsidRPr="00B630FF">
        <w:rPr>
          <w:rFonts w:ascii="Arial" w:hAnsi="Arial" w:cs="Arial"/>
          <w:sz w:val="28"/>
          <w:szCs w:val="28"/>
        </w:rPr>
        <w:t>Y</w:t>
      </w:r>
      <w:r w:rsidR="00595D13" w:rsidRPr="00B630FF">
        <w:rPr>
          <w:rFonts w:ascii="Arial" w:hAnsi="Arial" w:cs="Arial"/>
          <w:sz w:val="28"/>
          <w:szCs w:val="28"/>
        </w:rPr>
        <w:t>our sole responsibility</w:t>
      </w:r>
      <w:r w:rsidRPr="00B630FF">
        <w:rPr>
          <w:rFonts w:ascii="Arial" w:hAnsi="Arial" w:cs="Arial"/>
          <w:sz w:val="28"/>
          <w:szCs w:val="28"/>
        </w:rPr>
        <w:t xml:space="preserve"> </w:t>
      </w:r>
      <w:r w:rsidR="00EA2B1A" w:rsidRPr="00B630FF">
        <w:rPr>
          <w:rFonts w:ascii="Arial" w:hAnsi="Arial" w:cs="Arial"/>
          <w:sz w:val="28"/>
          <w:szCs w:val="28"/>
        </w:rPr>
        <w:t>is</w:t>
      </w:r>
      <w:r w:rsidR="00595D13" w:rsidRPr="00B630FF">
        <w:rPr>
          <w:rFonts w:ascii="Arial" w:hAnsi="Arial" w:cs="Arial"/>
          <w:sz w:val="28"/>
          <w:szCs w:val="28"/>
        </w:rPr>
        <w:t xml:space="preserve"> to decide whether the People have, or have not, proven the defendant guilty of a charged crime beyond a reasonable doubt.</w:t>
      </w:r>
    </w:p>
    <w:p w14:paraId="73433761" w14:textId="77777777" w:rsidR="00C5402C" w:rsidRDefault="00C5402C" w:rsidP="00C62AAF">
      <w:pPr>
        <w:jc w:val="both"/>
        <w:rPr>
          <w:rFonts w:ascii="Arial" w:hAnsi="Arial" w:cs="Arial"/>
          <w:sz w:val="28"/>
          <w:szCs w:val="28"/>
        </w:rPr>
      </w:pPr>
    </w:p>
    <w:sectPr w:rsidR="00C5402C" w:rsidSect="00AE19B6">
      <w:endnotePr>
        <w:numFmt w:val="decimal"/>
      </w:endnotePr>
      <w:type w:val="continuous"/>
      <w:pgSz w:w="12240" w:h="15840"/>
      <w:pgMar w:top="1080" w:right="2160" w:bottom="1080" w:left="2160" w:header="99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4A34" w14:textId="77777777" w:rsidR="008F0F11" w:rsidRDefault="008F0F11" w:rsidP="00DF46AC">
      <w:r>
        <w:separator/>
      </w:r>
    </w:p>
  </w:endnote>
  <w:endnote w:type="continuationSeparator" w:id="0">
    <w:p w14:paraId="673EF6CA" w14:textId="77777777" w:rsidR="008F0F11" w:rsidRDefault="008F0F11" w:rsidP="00DF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9B43" w14:textId="77777777" w:rsidR="008F0F11" w:rsidRDefault="008F0F11" w:rsidP="00DF46AC">
      <w:r>
        <w:separator/>
      </w:r>
    </w:p>
  </w:footnote>
  <w:footnote w:type="continuationSeparator" w:id="0">
    <w:p w14:paraId="3D74A707" w14:textId="77777777" w:rsidR="008F0F11" w:rsidRDefault="008F0F11" w:rsidP="00DF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13"/>
    <w:rsid w:val="000E6CCF"/>
    <w:rsid w:val="00107997"/>
    <w:rsid w:val="00131E98"/>
    <w:rsid w:val="00186628"/>
    <w:rsid w:val="001B0155"/>
    <w:rsid w:val="001F35CD"/>
    <w:rsid w:val="0020753F"/>
    <w:rsid w:val="00207E11"/>
    <w:rsid w:val="00215411"/>
    <w:rsid w:val="00220190"/>
    <w:rsid w:val="0022525A"/>
    <w:rsid w:val="00254815"/>
    <w:rsid w:val="00262829"/>
    <w:rsid w:val="00271926"/>
    <w:rsid w:val="00280875"/>
    <w:rsid w:val="002A308A"/>
    <w:rsid w:val="002B243F"/>
    <w:rsid w:val="002C3214"/>
    <w:rsid w:val="003035A9"/>
    <w:rsid w:val="003412CF"/>
    <w:rsid w:val="00383208"/>
    <w:rsid w:val="003A4F5F"/>
    <w:rsid w:val="003C29FA"/>
    <w:rsid w:val="004A1113"/>
    <w:rsid w:val="004B5B0A"/>
    <w:rsid w:val="004D7C2B"/>
    <w:rsid w:val="00551B98"/>
    <w:rsid w:val="00570E4B"/>
    <w:rsid w:val="00595B0E"/>
    <w:rsid w:val="00595D13"/>
    <w:rsid w:val="006337D6"/>
    <w:rsid w:val="0064449E"/>
    <w:rsid w:val="006466D7"/>
    <w:rsid w:val="00655C33"/>
    <w:rsid w:val="006A641E"/>
    <w:rsid w:val="006B7884"/>
    <w:rsid w:val="006C54AB"/>
    <w:rsid w:val="006D3D1C"/>
    <w:rsid w:val="006F6B73"/>
    <w:rsid w:val="006F7BFA"/>
    <w:rsid w:val="007703B5"/>
    <w:rsid w:val="007B2D71"/>
    <w:rsid w:val="00815903"/>
    <w:rsid w:val="008F0F11"/>
    <w:rsid w:val="008F4156"/>
    <w:rsid w:val="009117E4"/>
    <w:rsid w:val="0096691B"/>
    <w:rsid w:val="00982B50"/>
    <w:rsid w:val="009D1808"/>
    <w:rsid w:val="009D57F0"/>
    <w:rsid w:val="009E6219"/>
    <w:rsid w:val="009F4AE2"/>
    <w:rsid w:val="009F7950"/>
    <w:rsid w:val="00A33737"/>
    <w:rsid w:val="00A408E0"/>
    <w:rsid w:val="00A515BB"/>
    <w:rsid w:val="00A55D92"/>
    <w:rsid w:val="00A649A0"/>
    <w:rsid w:val="00A80113"/>
    <w:rsid w:val="00A8462C"/>
    <w:rsid w:val="00AA2894"/>
    <w:rsid w:val="00AB6DF1"/>
    <w:rsid w:val="00AD48FC"/>
    <w:rsid w:val="00AE19B6"/>
    <w:rsid w:val="00B630FF"/>
    <w:rsid w:val="00C417A8"/>
    <w:rsid w:val="00C5402C"/>
    <w:rsid w:val="00C62AAF"/>
    <w:rsid w:val="00C91DB5"/>
    <w:rsid w:val="00CC66F1"/>
    <w:rsid w:val="00CD130F"/>
    <w:rsid w:val="00D61C8F"/>
    <w:rsid w:val="00DA29A5"/>
    <w:rsid w:val="00DC563E"/>
    <w:rsid w:val="00DF46AC"/>
    <w:rsid w:val="00E14619"/>
    <w:rsid w:val="00E31DAF"/>
    <w:rsid w:val="00E97CAC"/>
    <w:rsid w:val="00EA2B1A"/>
    <w:rsid w:val="00EC2320"/>
    <w:rsid w:val="00EF0ED3"/>
    <w:rsid w:val="00F4590C"/>
    <w:rsid w:val="00FD425F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D516"/>
  <w15:chartTrackingRefBased/>
  <w15:docId w15:val="{9D6EA98D-CCF8-414E-917A-DD6299F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29"/>
    <w:pPr>
      <w:spacing w:before="0"/>
    </w:pPr>
    <w:rPr>
      <w:rFonts w:ascii="Calibri" w:hAnsi="Calibri" w:cs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rsid w:val="006F6B73"/>
  </w:style>
  <w:style w:type="paragraph" w:styleId="Index1">
    <w:name w:val="index 1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Index2">
    <w:name w:val="index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/>
    </w:pPr>
    <w:rPr>
      <w:rFonts w:eastAsia="Times New Roman"/>
    </w:rPr>
  </w:style>
  <w:style w:type="paragraph" w:styleId="TOC1">
    <w:name w:val="toc 1"/>
    <w:basedOn w:val="NoSpacing"/>
    <w:next w:val="NoSpacing"/>
    <w:autoRedefine/>
    <w:uiPriority w:val="39"/>
    <w:qFormat/>
    <w:rsid w:val="00107997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line="240" w:lineRule="atLeast"/>
      <w:ind w:left="720" w:right="720" w:hanging="720"/>
    </w:pPr>
    <w:rPr>
      <w:rFonts w:eastAsia="Times New Roman" w:cs="Courier New"/>
      <w:szCs w:val="20"/>
    </w:rPr>
  </w:style>
  <w:style w:type="paragraph" w:styleId="TOC2">
    <w:name w:val="toc 2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3">
    <w:name w:val="toc 3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4">
    <w:name w:val="toc 4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5">
    <w:name w:val="toc 5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right="720"/>
    </w:pPr>
    <w:rPr>
      <w:rFonts w:eastAsia="Times New Roman"/>
    </w:rPr>
  </w:style>
  <w:style w:type="paragraph" w:styleId="TOC6">
    <w:name w:val="toc 6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7">
    <w:name w:val="toc 7"/>
    <w:basedOn w:val="Normal"/>
    <w:next w:val="Normal"/>
    <w:uiPriority w:val="99"/>
    <w:rsid w:val="006F6B73"/>
    <w:pPr>
      <w:suppressAutoHyphens/>
      <w:spacing w:line="240" w:lineRule="atLeast"/>
      <w:ind w:left="720" w:hanging="720"/>
    </w:pPr>
    <w:rPr>
      <w:rFonts w:eastAsia="Times New Roman"/>
    </w:rPr>
  </w:style>
  <w:style w:type="paragraph" w:styleId="TOC8">
    <w:name w:val="toc 8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TOC9">
    <w:name w:val="toc 9"/>
    <w:basedOn w:val="Normal"/>
    <w:next w:val="Normal"/>
    <w:uiPriority w:val="99"/>
    <w:rsid w:val="006F6B73"/>
    <w:pPr>
      <w:tabs>
        <w:tab w:val="right" w:leader="dot" w:pos="9360"/>
      </w:tabs>
      <w:suppressAutoHyphens/>
      <w:spacing w:line="240" w:lineRule="atLeast"/>
      <w:ind w:left="720" w:hanging="72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6F6B73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6B7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6F6B73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F6B73"/>
    <w:rPr>
      <w:rFonts w:eastAsia="Times New Roman"/>
    </w:rPr>
  </w:style>
  <w:style w:type="character" w:styleId="FootnoteReference">
    <w:name w:val="footnote reference"/>
    <w:uiPriority w:val="99"/>
    <w:rsid w:val="006F6B73"/>
    <w:rPr>
      <w:vertAlign w:val="superscript"/>
    </w:rPr>
  </w:style>
  <w:style w:type="character" w:styleId="EndnoteReference">
    <w:name w:val="endnote reference"/>
    <w:uiPriority w:val="99"/>
    <w:rsid w:val="006F6B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6F6B73"/>
    <w:rPr>
      <w:rFonts w:eastAsia="Times New Roman"/>
    </w:rPr>
  </w:style>
  <w:style w:type="character" w:customStyle="1" w:styleId="EndnoteTextChar">
    <w:name w:val="Endnote Text Char"/>
    <w:link w:val="EndnoteText"/>
    <w:uiPriority w:val="99"/>
    <w:rsid w:val="006F6B73"/>
    <w:rPr>
      <w:rFonts w:ascii="Courier New" w:eastAsia="Times New Roman" w:hAnsi="Courier New" w:cs="Courier New"/>
      <w:sz w:val="24"/>
      <w:szCs w:val="24"/>
    </w:rPr>
  </w:style>
  <w:style w:type="paragraph" w:styleId="TOAHeading">
    <w:name w:val="toa heading"/>
    <w:basedOn w:val="Normal"/>
    <w:next w:val="Normal"/>
    <w:uiPriority w:val="99"/>
    <w:rsid w:val="006F6B73"/>
    <w:pPr>
      <w:tabs>
        <w:tab w:val="right" w:pos="9360"/>
      </w:tabs>
      <w:suppressAutoHyphens/>
      <w:spacing w:line="240" w:lineRule="atLeast"/>
    </w:pPr>
    <w:rPr>
      <w:rFonts w:eastAsia="Times New Roman"/>
    </w:rPr>
  </w:style>
  <w:style w:type="paragraph" w:styleId="NoSpacing">
    <w:name w:val="No Spacing"/>
    <w:uiPriority w:val="1"/>
    <w:qFormat/>
    <w:rsid w:val="00107997"/>
    <w:pPr>
      <w:spacing w:before="0"/>
    </w:pPr>
  </w:style>
  <w:style w:type="character" w:customStyle="1" w:styleId="apple-converted-space">
    <w:name w:val="apple-converted-space"/>
    <w:basedOn w:val="DefaultParagraphFont"/>
    <w:rsid w:val="002B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7DF-9F19-42A8-998E-9EA684B9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49</cp:revision>
  <dcterms:created xsi:type="dcterms:W3CDTF">2023-09-22T20:39:00Z</dcterms:created>
  <dcterms:modified xsi:type="dcterms:W3CDTF">2023-12-05T19:10:00Z</dcterms:modified>
</cp:coreProperties>
</file>