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6AF9" w14:textId="12B939A4" w:rsidR="00CA2434" w:rsidRDefault="00CA2434" w:rsidP="00416542">
      <w:pPr>
        <w:jc w:val="center"/>
        <w:rPr>
          <w:b/>
          <w:bCs/>
        </w:rPr>
      </w:pPr>
      <w:r w:rsidRPr="00416542">
        <w:rPr>
          <w:b/>
          <w:bCs/>
        </w:rPr>
        <w:t>Arraignment On</w:t>
      </w:r>
      <w:r w:rsidR="00A10027">
        <w:rPr>
          <w:b/>
          <w:bCs/>
        </w:rPr>
        <w:t xml:space="preserve"> </w:t>
      </w:r>
      <w:r w:rsidRPr="00416542">
        <w:rPr>
          <w:b/>
          <w:bCs/>
        </w:rPr>
        <w:t xml:space="preserve">A Special Information </w:t>
      </w:r>
    </w:p>
    <w:p w14:paraId="5107113A" w14:textId="3C041661" w:rsidR="000C7718" w:rsidRPr="00416542" w:rsidRDefault="00CA2434" w:rsidP="00416542">
      <w:pPr>
        <w:jc w:val="center"/>
        <w:rPr>
          <w:b/>
          <w:bCs/>
        </w:rPr>
      </w:pPr>
      <w:r w:rsidRPr="00416542">
        <w:rPr>
          <w:b/>
          <w:bCs/>
        </w:rPr>
        <w:t>Charging A Previous Conviction</w:t>
      </w:r>
    </w:p>
    <w:p w14:paraId="691A222C" w14:textId="06ED68CB" w:rsidR="00B67CA1" w:rsidRPr="00B67CA1" w:rsidRDefault="00B67CA1" w:rsidP="00B67CA1">
      <w:pPr>
        <w:ind w:left="-720"/>
        <w:jc w:val="center"/>
      </w:pPr>
      <w:r w:rsidRPr="00B67CA1">
        <w:t>[CPL 200.60]</w:t>
      </w:r>
    </w:p>
    <w:p w14:paraId="4D9FB6BC" w14:textId="77777777" w:rsidR="0039390B" w:rsidRDefault="0039390B" w:rsidP="00347D4D"/>
    <w:p w14:paraId="30D1CF24" w14:textId="6AD38270" w:rsidR="00FC3807" w:rsidRPr="00B67CA1" w:rsidRDefault="00BB0C85" w:rsidP="002A4AD3">
      <w:pPr>
        <w:rPr>
          <w:b/>
          <w:bCs/>
        </w:rPr>
      </w:pPr>
      <w:r w:rsidRPr="00B67CA1">
        <w:rPr>
          <w:b/>
          <w:bCs/>
        </w:rPr>
        <w:t>C</w:t>
      </w:r>
      <w:r w:rsidR="00163203">
        <w:rPr>
          <w:b/>
          <w:bCs/>
        </w:rPr>
        <w:t xml:space="preserve">ourt </w:t>
      </w:r>
      <w:r w:rsidR="00DC5764">
        <w:rPr>
          <w:b/>
          <w:bCs/>
        </w:rPr>
        <w:t>to Defendant</w:t>
      </w:r>
      <w:r w:rsidRPr="00B67CA1">
        <w:rPr>
          <w:b/>
          <w:bCs/>
        </w:rPr>
        <w:t xml:space="preserve">: </w:t>
      </w:r>
    </w:p>
    <w:p w14:paraId="435BDE24" w14:textId="77777777" w:rsidR="00B67CA1" w:rsidRDefault="00B67CA1" w:rsidP="00347D4D"/>
    <w:p w14:paraId="66149E20" w14:textId="63A25552" w:rsidR="00E20C82" w:rsidRDefault="00FC3807" w:rsidP="005D5CA0">
      <w:r>
        <w:t>You are charged in the indictment with the crime of (</w:t>
      </w:r>
      <w:r w:rsidRPr="00F53439">
        <w:rPr>
          <w:u w:val="single"/>
        </w:rPr>
        <w:t>specify</w:t>
      </w:r>
      <w:r>
        <w:t>)</w:t>
      </w:r>
      <w:r w:rsidR="00F53439">
        <w:t xml:space="preserve">. </w:t>
      </w:r>
      <w:r w:rsidR="00163203">
        <w:t xml:space="preserve"> </w:t>
      </w:r>
      <w:r w:rsidR="00F53439">
        <w:t>An element of that crime</w:t>
      </w:r>
      <w:r w:rsidR="002A4AD3">
        <w:t xml:space="preserve"> </w:t>
      </w:r>
      <w:r w:rsidR="00AE4E8C">
        <w:t>is</w:t>
      </w:r>
      <w:r w:rsidR="00F53439">
        <w:t xml:space="preserve"> that y</w:t>
      </w:r>
      <w:r w:rsidR="00AE3245">
        <w:t xml:space="preserve">ou were previously convicted </w:t>
      </w:r>
      <w:r w:rsidR="0024652A">
        <w:t>of</w:t>
      </w:r>
    </w:p>
    <w:p w14:paraId="54C0ED84" w14:textId="77777777" w:rsidR="00E20C82" w:rsidRDefault="00E20C82" w:rsidP="00B67CA1"/>
    <w:p w14:paraId="750295C7" w14:textId="77777777" w:rsidR="004D5D2B" w:rsidRPr="005F7001" w:rsidRDefault="004D5D2B" w:rsidP="005D5CA0">
      <w:pPr>
        <w:ind w:left="720"/>
        <w:rPr>
          <w:i/>
          <w:iCs/>
          <w:u w:val="single"/>
        </w:rPr>
      </w:pPr>
      <w:r w:rsidRPr="005F7001">
        <w:rPr>
          <w:i/>
          <w:iCs/>
          <w:u w:val="single"/>
        </w:rPr>
        <w:t>Select appropriate alternative:</w:t>
      </w:r>
    </w:p>
    <w:p w14:paraId="7C1DB89E" w14:textId="19E097B4" w:rsidR="00EF0011" w:rsidRDefault="009855DB" w:rsidP="005D5CA0">
      <w:pPr>
        <w:ind w:left="720"/>
      </w:pPr>
      <w:r>
        <w:t>a</w:t>
      </w:r>
      <w:r w:rsidR="00A1166E">
        <w:t>n offense</w:t>
      </w:r>
      <w:r w:rsidR="0034765D">
        <w:t xml:space="preserve"> </w:t>
      </w:r>
      <w:r w:rsidR="00551937">
        <w:t>/ a crime</w:t>
      </w:r>
    </w:p>
    <w:p w14:paraId="5CF5E737" w14:textId="39E7FF47" w:rsidR="00CA7912" w:rsidRDefault="00EF0011" w:rsidP="005D5CA0">
      <w:pPr>
        <w:ind w:left="720"/>
      </w:pPr>
      <w:r>
        <w:t>(</w:t>
      </w:r>
      <w:r w:rsidR="00F0364E">
        <w:rPr>
          <w:i/>
          <w:iCs/>
        </w:rPr>
        <w:t>specify</w:t>
      </w:r>
      <w:r w:rsidR="00A1166E">
        <w:rPr>
          <w:i/>
          <w:iCs/>
        </w:rPr>
        <w:t xml:space="preserve"> the </w:t>
      </w:r>
      <w:r w:rsidR="00556D9F">
        <w:rPr>
          <w:i/>
          <w:iCs/>
        </w:rPr>
        <w:t>requisite offense</w:t>
      </w:r>
      <w:r>
        <w:t>)</w:t>
      </w:r>
      <w:r w:rsidR="005D5CA0">
        <w:t>.</w:t>
      </w:r>
      <w:r w:rsidR="00CA7912">
        <w:t xml:space="preserve">                                           </w:t>
      </w:r>
    </w:p>
    <w:p w14:paraId="79B3EC38" w14:textId="77777777" w:rsidR="00CA7912" w:rsidRDefault="00CA7912" w:rsidP="00E929BB"/>
    <w:p w14:paraId="5253AD61" w14:textId="0688671A" w:rsidR="00FC3807" w:rsidRDefault="005D5CA0" w:rsidP="00D103C9">
      <w:r>
        <w:t xml:space="preserve">The </w:t>
      </w:r>
      <w:r w:rsidR="00AE4E8C">
        <w:t>People are accordingly required to prove that element beyond a reasonable doubt</w:t>
      </w:r>
      <w:r w:rsidR="0071591B">
        <w:t>.</w:t>
      </w:r>
    </w:p>
    <w:p w14:paraId="168FAB1B" w14:textId="77777777" w:rsidR="0071591B" w:rsidRDefault="0071591B" w:rsidP="00B67CA1"/>
    <w:p w14:paraId="2FEDF8DD" w14:textId="4BAA699C" w:rsidR="00D732DF" w:rsidRDefault="00D732DF" w:rsidP="00B67CA1">
      <w:r>
        <w:t xml:space="preserve">By law, </w:t>
      </w:r>
      <w:r w:rsidR="001C65D6">
        <w:t xml:space="preserve">the People were required to </w:t>
      </w:r>
      <w:r w:rsidR="00FB67DA">
        <w:t xml:space="preserve">charge that element </w:t>
      </w:r>
      <w:r w:rsidR="00EE26F8">
        <w:t>separately from the indictment in a Special Information.</w:t>
      </w:r>
      <w:r w:rsidR="00020472">
        <w:t xml:space="preserve"> </w:t>
      </w:r>
      <w:r w:rsidR="00820E1C">
        <w:t xml:space="preserve">That </w:t>
      </w:r>
      <w:r w:rsidR="00C968AA">
        <w:t xml:space="preserve"> Special Information therefore </w:t>
      </w:r>
      <w:r w:rsidR="0012181F">
        <w:t>all</w:t>
      </w:r>
      <w:r w:rsidR="004B7CD6">
        <w:t>e</w:t>
      </w:r>
      <w:r w:rsidR="0012181F">
        <w:t>ges</w:t>
      </w:r>
      <w:r w:rsidR="00576A64">
        <w:t xml:space="preserve"> that </w:t>
      </w:r>
      <w:r w:rsidR="00B6421F">
        <w:t xml:space="preserve">on </w:t>
      </w:r>
      <w:r w:rsidR="003C2C86">
        <w:t xml:space="preserve">or about </w:t>
      </w:r>
      <w:bookmarkStart w:id="0" w:name="_Hlk30770532"/>
      <w:r w:rsidR="00B6421F">
        <w:t>(</w:t>
      </w:r>
      <w:r w:rsidR="00B6421F" w:rsidRPr="00C54F5C">
        <w:rPr>
          <w:i/>
          <w:iCs/>
          <w:u w:val="single"/>
        </w:rPr>
        <w:t>date</w:t>
      </w:r>
      <w:r w:rsidR="00B6421F">
        <w:t>) in the County of (</w:t>
      </w:r>
      <w:r w:rsidR="00B6421F" w:rsidRPr="00C54F5C">
        <w:rPr>
          <w:i/>
          <w:iCs/>
          <w:u w:val="single"/>
        </w:rPr>
        <w:t>specify</w:t>
      </w:r>
      <w:r w:rsidR="00B6421F">
        <w:t xml:space="preserve">) </w:t>
      </w:r>
      <w:r w:rsidR="00290B27">
        <w:t xml:space="preserve">you were convicted </w:t>
      </w:r>
      <w:r w:rsidR="00C54F5C">
        <w:t xml:space="preserve">of the </w:t>
      </w:r>
      <w:r w:rsidR="00943240">
        <w:t xml:space="preserve">offense </w:t>
      </w:r>
      <w:r w:rsidR="00C54F5C">
        <w:t>of</w:t>
      </w:r>
      <w:r w:rsidR="000A2D4D">
        <w:t xml:space="preserve"> (</w:t>
      </w:r>
      <w:r w:rsidR="00C54F5C" w:rsidRPr="00C54F5C">
        <w:rPr>
          <w:i/>
          <w:iCs/>
          <w:u w:val="single"/>
        </w:rPr>
        <w:t>specify</w:t>
      </w:r>
      <w:r w:rsidR="00C54F5C">
        <w:t>).</w:t>
      </w:r>
    </w:p>
    <w:p w14:paraId="0EF48B26" w14:textId="77777777" w:rsidR="0012181F" w:rsidRDefault="0012181F" w:rsidP="00B67CA1"/>
    <w:bookmarkEnd w:id="0"/>
    <w:p w14:paraId="6BE90480" w14:textId="6C517872" w:rsidR="00B56DAD" w:rsidRDefault="007C0EA1" w:rsidP="00B67CA1">
      <w:r>
        <w:t xml:space="preserve">You may admit, deny, or </w:t>
      </w:r>
      <w:r w:rsidR="00D77732">
        <w:t>remain</w:t>
      </w:r>
      <w:r>
        <w:t xml:space="preserve"> mute with respect t</w:t>
      </w:r>
      <w:r w:rsidR="00F77F2E">
        <w:t>hat allegation.</w:t>
      </w:r>
    </w:p>
    <w:p w14:paraId="026D8FF1" w14:textId="1425AB04" w:rsidR="00476B51" w:rsidRDefault="00476B51" w:rsidP="00B67CA1"/>
    <w:p w14:paraId="65481A6A" w14:textId="1D14BAC0" w:rsidR="0045604B" w:rsidRDefault="00347D4D" w:rsidP="00347D4D">
      <w:r>
        <w:t>If</w:t>
      </w:r>
      <w:r w:rsidR="00A71DFA">
        <w:t xml:space="preserve"> you</w:t>
      </w:r>
      <w:r>
        <w:t xml:space="preserve"> </w:t>
      </w:r>
      <w:r w:rsidRPr="00E54A47">
        <w:rPr>
          <w:b/>
          <w:bCs/>
        </w:rPr>
        <w:t>admit</w:t>
      </w:r>
      <w:r>
        <w:t xml:space="preserve"> th</w:t>
      </w:r>
      <w:r w:rsidR="00AA6E75">
        <w:t>at</w:t>
      </w:r>
      <w:r>
        <w:t xml:space="preserve"> previous conviction, that element of the offense charged in the indictment is deemed established, </w:t>
      </w:r>
      <w:r w:rsidR="00054E7A">
        <w:t xml:space="preserve">and the People will not be permitted </w:t>
      </w:r>
      <w:r w:rsidR="006C5BCA">
        <w:t xml:space="preserve">to introduce any </w:t>
      </w:r>
      <w:r w:rsidR="00BB4DEA">
        <w:t xml:space="preserve">evidence </w:t>
      </w:r>
      <w:r w:rsidR="009D703D">
        <w:t xml:space="preserve">of </w:t>
      </w:r>
      <w:r w:rsidR="0045604B">
        <w:t xml:space="preserve">that previous conviction to </w:t>
      </w:r>
      <w:r w:rsidR="003E4BF1">
        <w:t xml:space="preserve">prove </w:t>
      </w:r>
      <w:r w:rsidR="0045604B">
        <w:t>that element</w:t>
      </w:r>
      <w:r w:rsidR="003E4BF1">
        <w:t xml:space="preserve"> of the offense charged</w:t>
      </w:r>
      <w:r w:rsidR="00477DF6">
        <w:t xml:space="preserve"> in the indictment.</w:t>
      </w:r>
    </w:p>
    <w:p w14:paraId="1DEE96D2" w14:textId="77777777" w:rsidR="000D3C62" w:rsidRDefault="000D3C62" w:rsidP="00D25ECD">
      <w:pPr>
        <w:ind w:left="720"/>
      </w:pPr>
    </w:p>
    <w:p w14:paraId="60DC7768" w14:textId="77777777" w:rsidR="00D52360" w:rsidRDefault="00D25ECD" w:rsidP="00D52360">
      <w:pPr>
        <w:rPr>
          <w:i/>
          <w:iCs/>
          <w:u w:val="single"/>
        </w:rPr>
      </w:pPr>
      <w:r w:rsidRPr="00D25ECD">
        <w:rPr>
          <w:i/>
          <w:iCs/>
          <w:u w:val="single"/>
        </w:rPr>
        <w:t>Select appropriate alternative:</w:t>
      </w:r>
      <w:r w:rsidR="00D52360">
        <w:rPr>
          <w:i/>
          <w:iCs/>
          <w:u w:val="single"/>
        </w:rPr>
        <w:t xml:space="preserve"> </w:t>
      </w:r>
    </w:p>
    <w:p w14:paraId="49F54442" w14:textId="77777777" w:rsidR="00D52360" w:rsidRDefault="00D52360" w:rsidP="00D52360">
      <w:pPr>
        <w:rPr>
          <w:i/>
          <w:iCs/>
          <w:u w:val="single"/>
        </w:rPr>
      </w:pPr>
    </w:p>
    <w:p w14:paraId="49A985B9" w14:textId="61C0F2EE" w:rsidR="008C08F8" w:rsidRPr="00D52360" w:rsidRDefault="00347D4D" w:rsidP="00857C34">
      <w:pPr>
        <w:ind w:left="720"/>
        <w:rPr>
          <w:i/>
          <w:iCs/>
          <w:u w:val="single"/>
        </w:rPr>
      </w:pPr>
      <w:r>
        <w:t xml:space="preserve">If </w:t>
      </w:r>
      <w:r w:rsidR="00477DF6">
        <w:t xml:space="preserve">you </w:t>
      </w:r>
      <w:r w:rsidR="00477DF6" w:rsidRPr="00E54A47">
        <w:rPr>
          <w:b/>
          <w:bCs/>
        </w:rPr>
        <w:t>den</w:t>
      </w:r>
      <w:r w:rsidR="004F0C92" w:rsidRPr="00E54A47">
        <w:rPr>
          <w:b/>
          <w:bCs/>
        </w:rPr>
        <w:t>y</w:t>
      </w:r>
      <w:r>
        <w:t xml:space="preserve"> the previous conviction or</w:t>
      </w:r>
      <w:r w:rsidR="00F158CF">
        <w:t xml:space="preserve"> </w:t>
      </w:r>
      <w:r w:rsidR="00E54A47">
        <w:t>remain</w:t>
      </w:r>
      <w:r>
        <w:t xml:space="preserve"> mute, the </w:t>
      </w:r>
      <w:r w:rsidR="008C08F8">
        <w:t>P</w:t>
      </w:r>
      <w:r>
        <w:t xml:space="preserve">eople </w:t>
      </w:r>
      <w:r w:rsidR="001C653D">
        <w:t xml:space="preserve">may </w:t>
      </w:r>
      <w:r>
        <w:t xml:space="preserve">prove that element of the offense charged </w:t>
      </w:r>
      <w:r w:rsidR="00154EF7">
        <w:t>[</w:t>
      </w:r>
      <w:r>
        <w:t>before the jury</w:t>
      </w:r>
      <w:r w:rsidR="00154EF7">
        <w:t>]</w:t>
      </w:r>
      <w:r>
        <w:t xml:space="preserve"> as a part of their case. </w:t>
      </w:r>
    </w:p>
    <w:p w14:paraId="0D538488" w14:textId="77777777" w:rsidR="00CB52C4" w:rsidRDefault="00CB52C4" w:rsidP="00D52360"/>
    <w:p w14:paraId="54C7D2FC" w14:textId="5E38FFBF" w:rsidR="00670C03" w:rsidRPr="00366A3C" w:rsidRDefault="00670C03" w:rsidP="00857C34">
      <w:pPr>
        <w:ind w:left="720"/>
        <w:rPr>
          <w:i/>
          <w:iCs/>
        </w:rPr>
      </w:pPr>
      <w:r w:rsidRPr="00366A3C">
        <w:rPr>
          <w:i/>
          <w:iCs/>
        </w:rPr>
        <w:t xml:space="preserve">If the </w:t>
      </w:r>
      <w:r w:rsidR="00F135CA" w:rsidRPr="00366A3C">
        <w:rPr>
          <w:i/>
          <w:iCs/>
        </w:rPr>
        <w:t>indictment charge is “murder in the first degree” pursuant to Penal Law §  125.27(</w:t>
      </w:r>
      <w:r w:rsidR="00886F20" w:rsidRPr="00366A3C">
        <w:rPr>
          <w:i/>
          <w:iCs/>
        </w:rPr>
        <w:t>1)(a)(ix)</w:t>
      </w:r>
      <w:r w:rsidR="00ED1934">
        <w:rPr>
          <w:i/>
          <w:iCs/>
        </w:rPr>
        <w:t>,</w:t>
      </w:r>
      <w:r w:rsidR="004E2271">
        <w:rPr>
          <w:rStyle w:val="EndnoteReference"/>
        </w:rPr>
        <w:endnoteReference w:id="1"/>
      </w:r>
      <w:r w:rsidR="004E2271">
        <w:t xml:space="preserve"> </w:t>
      </w:r>
      <w:r w:rsidR="007276F3" w:rsidRPr="00366A3C">
        <w:rPr>
          <w:i/>
          <w:iCs/>
        </w:rPr>
        <w:t xml:space="preserve"> select the following:</w:t>
      </w:r>
      <w:r w:rsidR="00BC11C1" w:rsidRPr="00366A3C">
        <w:rPr>
          <w:i/>
          <w:iCs/>
        </w:rPr>
        <w:t xml:space="preserve"> </w:t>
      </w:r>
    </w:p>
    <w:p w14:paraId="45DFC572" w14:textId="77777777" w:rsidR="00670C03" w:rsidRDefault="00670C03" w:rsidP="00F95C93"/>
    <w:p w14:paraId="72C10D37" w14:textId="77777777" w:rsidR="00670C03" w:rsidRDefault="00670C03" w:rsidP="00F95C93"/>
    <w:p w14:paraId="0EA033ED" w14:textId="3424E148" w:rsidR="00BC11C1" w:rsidRDefault="00366A3C" w:rsidP="00857C34">
      <w:pPr>
        <w:ind w:left="720"/>
      </w:pPr>
      <w:r>
        <w:lastRenderedPageBreak/>
        <w:t>If you deny</w:t>
      </w:r>
      <w:r w:rsidR="00BC11C1">
        <w:t xml:space="preserve"> the previous murder conviction or </w:t>
      </w:r>
      <w:r>
        <w:t xml:space="preserve">stand </w:t>
      </w:r>
      <w:r w:rsidR="00BC11C1">
        <w:t xml:space="preserve">mute, the </w:t>
      </w:r>
      <w:r w:rsidR="00E70F67">
        <w:t>P</w:t>
      </w:r>
      <w:r w:rsidR="00BC11C1">
        <w:t xml:space="preserve">eople may prove that element of the offense </w:t>
      </w:r>
      <w:r w:rsidR="00DB251F">
        <w:t xml:space="preserve">to the jury </w:t>
      </w:r>
      <w:r w:rsidR="00BC11C1">
        <w:t xml:space="preserve">only after the jury has first found </w:t>
      </w:r>
      <w:r w:rsidR="00C82F94">
        <w:t xml:space="preserve">you </w:t>
      </w:r>
      <w:r w:rsidR="00BC11C1">
        <w:t>guilty of intentionally causing the death of a person as charged in the indictment</w:t>
      </w:r>
      <w:r w:rsidR="0056238C">
        <w:t xml:space="preserve">. </w:t>
      </w:r>
    </w:p>
    <w:p w14:paraId="32F4C1A6" w14:textId="77777777" w:rsidR="00BC11C1" w:rsidRDefault="00BC11C1" w:rsidP="00F95C93"/>
    <w:p w14:paraId="15D8DB4F" w14:textId="72B5B9C5" w:rsidR="00347D4D" w:rsidRDefault="00BC11C1" w:rsidP="00BC11C1">
      <w:pPr>
        <w:ind w:left="720"/>
      </w:pPr>
      <w:r>
        <w:tab/>
      </w:r>
    </w:p>
    <w:p w14:paraId="3B6218A7" w14:textId="77777777" w:rsidR="004213DD" w:rsidRDefault="00347D4D" w:rsidP="00D25ECD">
      <w:pPr>
        <w:ind w:left="720"/>
      </w:pPr>
      <w:r>
        <w:tab/>
      </w:r>
    </w:p>
    <w:sectPr w:rsidR="004213DD" w:rsidSect="003574D5">
      <w:endnotePr>
        <w:numFmt w:val="decimal"/>
      </w:endnotePr>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7BED" w14:textId="77777777" w:rsidR="00F95F8B" w:rsidRDefault="00F95F8B" w:rsidP="004B058B">
      <w:r>
        <w:separator/>
      </w:r>
    </w:p>
  </w:endnote>
  <w:endnote w:type="continuationSeparator" w:id="0">
    <w:p w14:paraId="0BB4A64D" w14:textId="77777777" w:rsidR="00F95F8B" w:rsidRDefault="00F95F8B" w:rsidP="004B058B">
      <w:r>
        <w:continuationSeparator/>
      </w:r>
    </w:p>
  </w:endnote>
  <w:endnote w:id="1">
    <w:p w14:paraId="56B8AF2C" w14:textId="796E5B92" w:rsidR="00502317" w:rsidRPr="006B0195" w:rsidRDefault="004E2271" w:rsidP="00552EBE">
      <w:pPr>
        <w:rPr>
          <w:sz w:val="24"/>
        </w:rPr>
      </w:pPr>
      <w:r>
        <w:rPr>
          <w:rStyle w:val="EndnoteReference"/>
        </w:rPr>
        <w:endnoteRef/>
      </w:r>
      <w:r>
        <w:t xml:space="preserve"> </w:t>
      </w:r>
      <w:r w:rsidRPr="006B0195">
        <w:rPr>
          <w:sz w:val="24"/>
        </w:rPr>
        <w:t>Pursuant to Penal Law §  125.17(1)(a)(ix): A person is guilty of murder in the first degree when with intent to cause the death of another person, he causes the death of such person or of a third person;  and prior to committing the killing, the defendant had been convicted of murder as defined in this section or section 125.25 of this article, or had been convicted in another jurisdiction of an offense which, if committed in this state, would constitute a violation of either of such sections</w:t>
      </w:r>
      <w:r w:rsidR="00A577FC" w:rsidRPr="006B0195">
        <w:rPr>
          <w:sz w:val="24"/>
        </w:rPr>
        <w:t>.</w:t>
      </w:r>
    </w:p>
    <w:p w14:paraId="4370FA0E" w14:textId="77777777" w:rsidR="008324D7" w:rsidRPr="00857C34" w:rsidRDefault="008324D7" w:rsidP="004E2271">
      <w:pPr>
        <w:pStyle w:val="EndnoteText"/>
        <w:rPr>
          <w:strike/>
          <w:color w:val="C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A6DB3" w14:textId="77777777" w:rsidR="00F95F8B" w:rsidRDefault="00F95F8B" w:rsidP="004B058B">
      <w:r>
        <w:separator/>
      </w:r>
    </w:p>
  </w:footnote>
  <w:footnote w:type="continuationSeparator" w:id="0">
    <w:p w14:paraId="2A2A0408" w14:textId="77777777" w:rsidR="00F95F8B" w:rsidRDefault="00F95F8B" w:rsidP="004B0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4D"/>
    <w:rsid w:val="000010C0"/>
    <w:rsid w:val="00020472"/>
    <w:rsid w:val="0002220A"/>
    <w:rsid w:val="00023B03"/>
    <w:rsid w:val="00024DAE"/>
    <w:rsid w:val="00027637"/>
    <w:rsid w:val="0003129E"/>
    <w:rsid w:val="00054E7A"/>
    <w:rsid w:val="000578A5"/>
    <w:rsid w:val="00071925"/>
    <w:rsid w:val="00074D4C"/>
    <w:rsid w:val="00084170"/>
    <w:rsid w:val="000914FD"/>
    <w:rsid w:val="000A2D4D"/>
    <w:rsid w:val="000A4A43"/>
    <w:rsid w:val="000B1863"/>
    <w:rsid w:val="000C7718"/>
    <w:rsid w:val="000D3C62"/>
    <w:rsid w:val="000E40C5"/>
    <w:rsid w:val="00113DC4"/>
    <w:rsid w:val="00115A47"/>
    <w:rsid w:val="0012181F"/>
    <w:rsid w:val="00154EF7"/>
    <w:rsid w:val="00163203"/>
    <w:rsid w:val="00187F65"/>
    <w:rsid w:val="001A77B9"/>
    <w:rsid w:val="001C653D"/>
    <w:rsid w:val="001C65D6"/>
    <w:rsid w:val="001D4103"/>
    <w:rsid w:val="001F7A74"/>
    <w:rsid w:val="00212373"/>
    <w:rsid w:val="00223AFC"/>
    <w:rsid w:val="00235F94"/>
    <w:rsid w:val="0024368B"/>
    <w:rsid w:val="0024652A"/>
    <w:rsid w:val="00285DF6"/>
    <w:rsid w:val="00290B27"/>
    <w:rsid w:val="002A4AD3"/>
    <w:rsid w:val="003100BF"/>
    <w:rsid w:val="00311066"/>
    <w:rsid w:val="00316883"/>
    <w:rsid w:val="00326A0C"/>
    <w:rsid w:val="003337D6"/>
    <w:rsid w:val="0034765D"/>
    <w:rsid w:val="00347D4D"/>
    <w:rsid w:val="003574D5"/>
    <w:rsid w:val="00366A3C"/>
    <w:rsid w:val="00383F0F"/>
    <w:rsid w:val="003849AB"/>
    <w:rsid w:val="0039390B"/>
    <w:rsid w:val="003948C4"/>
    <w:rsid w:val="003C2C86"/>
    <w:rsid w:val="003D2B7E"/>
    <w:rsid w:val="003E4BF1"/>
    <w:rsid w:val="00416542"/>
    <w:rsid w:val="004213DD"/>
    <w:rsid w:val="00455DC5"/>
    <w:rsid w:val="0045604B"/>
    <w:rsid w:val="00470FCF"/>
    <w:rsid w:val="00476B51"/>
    <w:rsid w:val="00477DF6"/>
    <w:rsid w:val="00481344"/>
    <w:rsid w:val="00497020"/>
    <w:rsid w:val="004B044E"/>
    <w:rsid w:val="004B058B"/>
    <w:rsid w:val="004B7CD6"/>
    <w:rsid w:val="004D43DA"/>
    <w:rsid w:val="004D5368"/>
    <w:rsid w:val="004D5D2B"/>
    <w:rsid w:val="004E2271"/>
    <w:rsid w:val="004F0C92"/>
    <w:rsid w:val="004F7899"/>
    <w:rsid w:val="00502317"/>
    <w:rsid w:val="00520625"/>
    <w:rsid w:val="00536F44"/>
    <w:rsid w:val="00545CB1"/>
    <w:rsid w:val="00551937"/>
    <w:rsid w:val="00552EBE"/>
    <w:rsid w:val="00556C2F"/>
    <w:rsid w:val="00556D9F"/>
    <w:rsid w:val="0056238C"/>
    <w:rsid w:val="00576A64"/>
    <w:rsid w:val="005A4296"/>
    <w:rsid w:val="005A6EAD"/>
    <w:rsid w:val="005C6DD6"/>
    <w:rsid w:val="005D5CA0"/>
    <w:rsid w:val="005F7001"/>
    <w:rsid w:val="00607769"/>
    <w:rsid w:val="00623E12"/>
    <w:rsid w:val="00627356"/>
    <w:rsid w:val="00670C03"/>
    <w:rsid w:val="006B0195"/>
    <w:rsid w:val="006B6F1F"/>
    <w:rsid w:val="006C1851"/>
    <w:rsid w:val="006C5BCA"/>
    <w:rsid w:val="006E5F51"/>
    <w:rsid w:val="0071591B"/>
    <w:rsid w:val="007276F3"/>
    <w:rsid w:val="00765784"/>
    <w:rsid w:val="00795041"/>
    <w:rsid w:val="007B7680"/>
    <w:rsid w:val="007C0EA1"/>
    <w:rsid w:val="00820E1C"/>
    <w:rsid w:val="008324D7"/>
    <w:rsid w:val="00857C34"/>
    <w:rsid w:val="00862EE8"/>
    <w:rsid w:val="00867101"/>
    <w:rsid w:val="00877D4C"/>
    <w:rsid w:val="0088044F"/>
    <w:rsid w:val="00886F20"/>
    <w:rsid w:val="008A60E6"/>
    <w:rsid w:val="008C08F8"/>
    <w:rsid w:val="008D2118"/>
    <w:rsid w:val="008D2530"/>
    <w:rsid w:val="008E3DA5"/>
    <w:rsid w:val="00930393"/>
    <w:rsid w:val="00943240"/>
    <w:rsid w:val="00954C93"/>
    <w:rsid w:val="0096778F"/>
    <w:rsid w:val="00967F4E"/>
    <w:rsid w:val="009818D7"/>
    <w:rsid w:val="009855DB"/>
    <w:rsid w:val="009B3F51"/>
    <w:rsid w:val="009D703D"/>
    <w:rsid w:val="00A10027"/>
    <w:rsid w:val="00A1166E"/>
    <w:rsid w:val="00A261BA"/>
    <w:rsid w:val="00A31ECD"/>
    <w:rsid w:val="00A527CD"/>
    <w:rsid w:val="00A577FC"/>
    <w:rsid w:val="00A71DFA"/>
    <w:rsid w:val="00AA6E75"/>
    <w:rsid w:val="00AE0DD8"/>
    <w:rsid w:val="00AE3245"/>
    <w:rsid w:val="00AE4E8C"/>
    <w:rsid w:val="00AF705A"/>
    <w:rsid w:val="00B43B7E"/>
    <w:rsid w:val="00B56DAD"/>
    <w:rsid w:val="00B5753A"/>
    <w:rsid w:val="00B6421F"/>
    <w:rsid w:val="00B67CA1"/>
    <w:rsid w:val="00BA7248"/>
    <w:rsid w:val="00BB0C85"/>
    <w:rsid w:val="00BB4DEA"/>
    <w:rsid w:val="00BC11C1"/>
    <w:rsid w:val="00BE71AD"/>
    <w:rsid w:val="00BF32EA"/>
    <w:rsid w:val="00C252DC"/>
    <w:rsid w:val="00C52D56"/>
    <w:rsid w:val="00C54F5C"/>
    <w:rsid w:val="00C82F94"/>
    <w:rsid w:val="00C968AA"/>
    <w:rsid w:val="00CA2434"/>
    <w:rsid w:val="00CA7912"/>
    <w:rsid w:val="00CB48A3"/>
    <w:rsid w:val="00CB52C4"/>
    <w:rsid w:val="00D103C9"/>
    <w:rsid w:val="00D11840"/>
    <w:rsid w:val="00D2151A"/>
    <w:rsid w:val="00D25ECD"/>
    <w:rsid w:val="00D52360"/>
    <w:rsid w:val="00D65018"/>
    <w:rsid w:val="00D732DF"/>
    <w:rsid w:val="00D77732"/>
    <w:rsid w:val="00D85B97"/>
    <w:rsid w:val="00DB251F"/>
    <w:rsid w:val="00DC5764"/>
    <w:rsid w:val="00E20C82"/>
    <w:rsid w:val="00E54A47"/>
    <w:rsid w:val="00E55AD5"/>
    <w:rsid w:val="00E56A0C"/>
    <w:rsid w:val="00E70F67"/>
    <w:rsid w:val="00E929BB"/>
    <w:rsid w:val="00ED1934"/>
    <w:rsid w:val="00EE26F8"/>
    <w:rsid w:val="00EE7743"/>
    <w:rsid w:val="00EF0011"/>
    <w:rsid w:val="00F0364E"/>
    <w:rsid w:val="00F135CA"/>
    <w:rsid w:val="00F158CF"/>
    <w:rsid w:val="00F53439"/>
    <w:rsid w:val="00F7140A"/>
    <w:rsid w:val="00F7418C"/>
    <w:rsid w:val="00F77F2E"/>
    <w:rsid w:val="00F95C93"/>
    <w:rsid w:val="00F95F8B"/>
    <w:rsid w:val="00F961A3"/>
    <w:rsid w:val="00F97782"/>
    <w:rsid w:val="00FB649F"/>
    <w:rsid w:val="00FB67DA"/>
    <w:rsid w:val="00FC3807"/>
    <w:rsid w:val="00FC5D35"/>
    <w:rsid w:val="00FD167A"/>
    <w:rsid w:val="00FE6BBC"/>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13DA"/>
  <w15:chartTrackingRefBased/>
  <w15:docId w15:val="{56AD849F-B9CF-4ED8-80BA-DF418118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43"/>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B058B"/>
    <w:rPr>
      <w:sz w:val="20"/>
      <w:szCs w:val="20"/>
    </w:rPr>
  </w:style>
  <w:style w:type="character" w:customStyle="1" w:styleId="EndnoteTextChar">
    <w:name w:val="Endnote Text Char"/>
    <w:basedOn w:val="DefaultParagraphFont"/>
    <w:link w:val="EndnoteText"/>
    <w:uiPriority w:val="99"/>
    <w:semiHidden/>
    <w:rsid w:val="004B058B"/>
    <w:rPr>
      <w:rFonts w:eastAsiaTheme="minorEastAsia" w:cs="Times New Roman"/>
      <w:sz w:val="20"/>
      <w:szCs w:val="20"/>
    </w:rPr>
  </w:style>
  <w:style w:type="character" w:styleId="EndnoteReference">
    <w:name w:val="endnote reference"/>
    <w:basedOn w:val="DefaultParagraphFont"/>
    <w:uiPriority w:val="99"/>
    <w:semiHidden/>
    <w:unhideWhenUsed/>
    <w:rsid w:val="004B0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5CBD-410B-4070-A8DD-6EC165EA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9</cp:revision>
  <dcterms:created xsi:type="dcterms:W3CDTF">2020-02-19T22:47:00Z</dcterms:created>
  <dcterms:modified xsi:type="dcterms:W3CDTF">2020-05-27T20:13:00Z</dcterms:modified>
</cp:coreProperties>
</file>