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C1945" w14:textId="3F2EB560" w:rsidR="00544638" w:rsidRPr="00CE49D1" w:rsidRDefault="00544638" w:rsidP="00DF37A4">
      <w:pPr>
        <w:spacing w:line="276" w:lineRule="auto"/>
        <w:jc w:val="center"/>
        <w:rPr>
          <w:rFonts w:ascii="Arial" w:hAnsi="Arial" w:cs="Arial"/>
          <w:b/>
          <w:sz w:val="28"/>
          <w:szCs w:val="28"/>
        </w:rPr>
      </w:pPr>
      <w:bookmarkStart w:id="0" w:name="_GoBack"/>
      <w:bookmarkEnd w:id="0"/>
      <w:r w:rsidRPr="00CE49D1">
        <w:rPr>
          <w:rFonts w:ascii="Arial" w:hAnsi="Arial" w:cs="Arial"/>
          <w:b/>
          <w:sz w:val="28"/>
          <w:szCs w:val="28"/>
        </w:rPr>
        <w:t>JURY NOTE</w:t>
      </w:r>
    </w:p>
    <w:p w14:paraId="76F270E6" w14:textId="0FBBCB25" w:rsidR="004B1FBB" w:rsidRDefault="004B1FBB" w:rsidP="004B1FBB">
      <w:pPr>
        <w:autoSpaceDE w:val="0"/>
        <w:autoSpaceDN w:val="0"/>
        <w:adjustRightInd w:val="0"/>
        <w:snapToGrid w:val="0"/>
        <w:spacing w:before="16" w:after="0" w:line="276" w:lineRule="auto"/>
        <w:jc w:val="center"/>
        <w:rPr>
          <w:rFonts w:ascii="Arial" w:hAnsi="Arial" w:cs="Arial"/>
          <w:b/>
          <w:sz w:val="28"/>
          <w:szCs w:val="28"/>
        </w:rPr>
      </w:pPr>
      <w:r>
        <w:rPr>
          <w:rFonts w:ascii="Arial" w:hAnsi="Arial" w:cs="Arial"/>
          <w:b/>
          <w:sz w:val="28"/>
          <w:szCs w:val="28"/>
        </w:rPr>
        <w:t>Summary of the Law</w:t>
      </w:r>
    </w:p>
    <w:p w14:paraId="472C761B" w14:textId="77777777" w:rsidR="00E35D53" w:rsidRDefault="00E35D53" w:rsidP="004B1FBB">
      <w:pPr>
        <w:autoSpaceDE w:val="0"/>
        <w:autoSpaceDN w:val="0"/>
        <w:adjustRightInd w:val="0"/>
        <w:snapToGrid w:val="0"/>
        <w:spacing w:before="16" w:after="0" w:line="276" w:lineRule="auto"/>
        <w:jc w:val="center"/>
        <w:rPr>
          <w:rFonts w:ascii="Arial" w:hAnsi="Arial" w:cs="Arial"/>
          <w:sz w:val="28"/>
          <w:szCs w:val="28"/>
        </w:rPr>
      </w:pPr>
    </w:p>
    <w:p w14:paraId="0A80623C" w14:textId="79FF033F" w:rsidR="00F456C0" w:rsidRPr="00745FF4" w:rsidRDefault="00FF0071" w:rsidP="00E35D53">
      <w:pPr>
        <w:autoSpaceDE w:val="0"/>
        <w:autoSpaceDN w:val="0"/>
        <w:adjustRightInd w:val="0"/>
        <w:snapToGrid w:val="0"/>
        <w:spacing w:before="16" w:after="0" w:line="276" w:lineRule="auto"/>
        <w:jc w:val="both"/>
        <w:rPr>
          <w:rFonts w:ascii="Arial" w:eastAsia="Times New Roman" w:hAnsi="Arial" w:cs="Arial"/>
          <w:sz w:val="28"/>
          <w:szCs w:val="28"/>
        </w:rPr>
      </w:pPr>
      <w:r w:rsidRPr="00CE49D1">
        <w:rPr>
          <w:rFonts w:ascii="Arial" w:hAnsi="Arial" w:cs="Arial"/>
          <w:sz w:val="28"/>
          <w:szCs w:val="28"/>
        </w:rPr>
        <w:tab/>
      </w:r>
      <w:r w:rsidR="00544638" w:rsidRPr="00CE49D1">
        <w:rPr>
          <w:rFonts w:ascii="Arial" w:hAnsi="Arial" w:cs="Arial"/>
          <w:sz w:val="28"/>
          <w:szCs w:val="28"/>
        </w:rPr>
        <w:t xml:space="preserve">The Court of Appeals has emphasized several times the procedure a trial court must follow when the court receives </w:t>
      </w:r>
      <w:r w:rsidR="00B474BC" w:rsidRPr="00CE49D1">
        <w:rPr>
          <w:rFonts w:ascii="Arial" w:hAnsi="Arial" w:cs="Arial"/>
          <w:sz w:val="28"/>
          <w:szCs w:val="28"/>
        </w:rPr>
        <w:t>an</w:t>
      </w:r>
      <w:r w:rsidR="001842DD" w:rsidRPr="00CE49D1">
        <w:rPr>
          <w:rFonts w:ascii="Arial" w:hAnsi="Arial" w:cs="Arial"/>
          <w:sz w:val="28"/>
          <w:szCs w:val="28"/>
        </w:rPr>
        <w:t xml:space="preserve"> inquiry from a jury, normally by a </w:t>
      </w:r>
      <w:r w:rsidR="00317201" w:rsidRPr="00CE49D1">
        <w:rPr>
          <w:rFonts w:ascii="Arial" w:hAnsi="Arial" w:cs="Arial"/>
          <w:sz w:val="28"/>
          <w:szCs w:val="28"/>
        </w:rPr>
        <w:t xml:space="preserve">written </w:t>
      </w:r>
      <w:r w:rsidR="00446B59" w:rsidRPr="00CE49D1">
        <w:rPr>
          <w:rFonts w:ascii="Arial" w:hAnsi="Arial" w:cs="Arial"/>
          <w:sz w:val="28"/>
          <w:szCs w:val="28"/>
        </w:rPr>
        <w:t>n</w:t>
      </w:r>
      <w:r w:rsidR="00544638" w:rsidRPr="00CE49D1">
        <w:rPr>
          <w:rFonts w:ascii="Arial" w:hAnsi="Arial" w:cs="Arial"/>
          <w:sz w:val="28"/>
          <w:szCs w:val="28"/>
        </w:rPr>
        <w:t>ote</w:t>
      </w:r>
      <w:r w:rsidR="000866D3" w:rsidRPr="00CE49D1">
        <w:rPr>
          <w:rFonts w:ascii="Arial" w:hAnsi="Arial" w:cs="Arial"/>
          <w:sz w:val="28"/>
          <w:szCs w:val="28"/>
        </w:rPr>
        <w:t>, about a substantive matter</w:t>
      </w:r>
      <w:r w:rsidR="00544638" w:rsidRPr="00CE49D1">
        <w:rPr>
          <w:rFonts w:ascii="Arial" w:hAnsi="Arial" w:cs="Arial"/>
          <w:sz w:val="28"/>
          <w:szCs w:val="28"/>
        </w:rPr>
        <w:t>.</w:t>
      </w:r>
      <w:r w:rsidR="00D2282E" w:rsidRPr="00CE49D1">
        <w:rPr>
          <w:rStyle w:val="EndnoteReference"/>
          <w:rFonts w:ascii="Arial" w:hAnsi="Arial" w:cs="Arial"/>
          <w:sz w:val="28"/>
          <w:szCs w:val="28"/>
        </w:rPr>
        <w:endnoteReference w:id="2"/>
      </w:r>
      <w:r w:rsidRPr="00CE49D1">
        <w:rPr>
          <w:rFonts w:ascii="Arial" w:eastAsia="Times New Roman" w:hAnsi="Arial" w:cs="Arial"/>
          <w:color w:val="000000"/>
          <w:sz w:val="28"/>
          <w:szCs w:val="28"/>
        </w:rPr>
        <w:t xml:space="preserve"> </w:t>
      </w:r>
      <w:r w:rsidR="00D76D45" w:rsidRPr="00CE49D1">
        <w:rPr>
          <w:rFonts w:ascii="Arial" w:eastAsia="Times New Roman" w:hAnsi="Arial" w:cs="Arial"/>
          <w:color w:val="000000"/>
          <w:sz w:val="28"/>
          <w:szCs w:val="28"/>
        </w:rPr>
        <w:t xml:space="preserve"> </w:t>
      </w:r>
      <w:r w:rsidR="00544638" w:rsidRPr="00CE49D1">
        <w:rPr>
          <w:rFonts w:ascii="Arial" w:eastAsia="Times New Roman" w:hAnsi="Arial" w:cs="Arial"/>
          <w:color w:val="000000"/>
          <w:sz w:val="28"/>
          <w:szCs w:val="28"/>
        </w:rPr>
        <w:t>The essence of the procedure is that the trial court</w:t>
      </w:r>
      <w:r w:rsidR="00B82E41" w:rsidRPr="00CE49D1">
        <w:rPr>
          <w:rFonts w:ascii="Arial" w:eastAsia="Times New Roman" w:hAnsi="Arial" w:cs="Arial"/>
          <w:color w:val="000000"/>
          <w:sz w:val="28"/>
          <w:szCs w:val="28"/>
        </w:rPr>
        <w:t>:</w:t>
      </w:r>
      <w:r w:rsidR="00544638" w:rsidRPr="00CE49D1">
        <w:rPr>
          <w:rFonts w:ascii="Arial" w:eastAsia="Times New Roman" w:hAnsi="Arial" w:cs="Arial"/>
          <w:color w:val="000000"/>
          <w:sz w:val="28"/>
          <w:szCs w:val="28"/>
        </w:rPr>
        <w:t xml:space="preserve"> </w:t>
      </w:r>
      <w:r w:rsidR="00B82E41" w:rsidRPr="00745FF4">
        <w:rPr>
          <w:rFonts w:ascii="Arial" w:eastAsia="Times New Roman" w:hAnsi="Arial" w:cs="Arial"/>
          <w:sz w:val="28"/>
          <w:szCs w:val="28"/>
        </w:rPr>
        <w:t xml:space="preserve">(1) </w:t>
      </w:r>
      <w:r w:rsidR="00544638" w:rsidRPr="00745FF4">
        <w:rPr>
          <w:rFonts w:ascii="Arial" w:eastAsia="Times New Roman" w:hAnsi="Arial" w:cs="Arial"/>
          <w:sz w:val="28"/>
          <w:szCs w:val="28"/>
        </w:rPr>
        <w:t xml:space="preserve">must inform the parties </w:t>
      </w:r>
      <w:r w:rsidR="00556417" w:rsidRPr="00745FF4">
        <w:rPr>
          <w:rFonts w:ascii="Arial" w:eastAsia="Times New Roman" w:hAnsi="Arial" w:cs="Arial"/>
          <w:sz w:val="28"/>
          <w:szCs w:val="28"/>
        </w:rPr>
        <w:t>of</w:t>
      </w:r>
      <w:r w:rsidR="00544638" w:rsidRPr="00745FF4">
        <w:rPr>
          <w:rFonts w:ascii="Arial" w:eastAsia="Times New Roman" w:hAnsi="Arial" w:cs="Arial"/>
          <w:sz w:val="28"/>
          <w:szCs w:val="28"/>
        </w:rPr>
        <w:t xml:space="preserve"> the </w:t>
      </w:r>
      <w:r w:rsidR="00556417" w:rsidRPr="00745FF4">
        <w:rPr>
          <w:rFonts w:ascii="Arial" w:eastAsia="Times New Roman" w:hAnsi="Arial" w:cs="Arial"/>
          <w:sz w:val="28"/>
          <w:szCs w:val="28"/>
        </w:rPr>
        <w:t xml:space="preserve">verbatim content of the </w:t>
      </w:r>
      <w:r w:rsidR="00446B59" w:rsidRPr="00745FF4">
        <w:rPr>
          <w:rFonts w:ascii="Arial" w:eastAsia="Times New Roman" w:hAnsi="Arial" w:cs="Arial"/>
          <w:sz w:val="28"/>
          <w:szCs w:val="28"/>
        </w:rPr>
        <w:t>n</w:t>
      </w:r>
      <w:r w:rsidR="00544638" w:rsidRPr="00745FF4">
        <w:rPr>
          <w:rFonts w:ascii="Arial" w:eastAsia="Times New Roman" w:hAnsi="Arial" w:cs="Arial"/>
          <w:sz w:val="28"/>
          <w:szCs w:val="28"/>
        </w:rPr>
        <w:t>ote</w:t>
      </w:r>
      <w:r w:rsidR="00A95734" w:rsidRPr="00745FF4">
        <w:rPr>
          <w:rFonts w:ascii="Arial" w:eastAsia="Times New Roman" w:hAnsi="Arial" w:cs="Arial"/>
          <w:sz w:val="28"/>
          <w:szCs w:val="28"/>
        </w:rPr>
        <w:t>; (</w:t>
      </w:r>
      <w:r w:rsidR="00185F0F" w:rsidRPr="00745FF4">
        <w:rPr>
          <w:rFonts w:ascii="Arial" w:eastAsia="Times New Roman" w:hAnsi="Arial" w:cs="Arial"/>
          <w:sz w:val="28"/>
          <w:szCs w:val="28"/>
        </w:rPr>
        <w:t>2</w:t>
      </w:r>
      <w:r w:rsidR="00D77E72" w:rsidRPr="00745FF4">
        <w:rPr>
          <w:rFonts w:ascii="Arial" w:eastAsia="Times New Roman" w:hAnsi="Arial" w:cs="Arial"/>
          <w:sz w:val="28"/>
          <w:szCs w:val="28"/>
        </w:rPr>
        <w:t>) must</w:t>
      </w:r>
      <w:r w:rsidR="003E7473" w:rsidRPr="00745FF4">
        <w:rPr>
          <w:rFonts w:ascii="Arial" w:eastAsia="Times New Roman" w:hAnsi="Arial" w:cs="Arial"/>
          <w:sz w:val="28"/>
          <w:szCs w:val="28"/>
        </w:rPr>
        <w:t xml:space="preserve"> accord </w:t>
      </w:r>
      <w:r w:rsidR="00D77E72" w:rsidRPr="00745FF4">
        <w:rPr>
          <w:rFonts w:ascii="Arial" w:eastAsia="Times New Roman" w:hAnsi="Arial" w:cs="Arial"/>
          <w:sz w:val="28"/>
          <w:szCs w:val="28"/>
        </w:rPr>
        <w:t xml:space="preserve">the parties </w:t>
      </w:r>
      <w:r w:rsidR="003E7473" w:rsidRPr="00745FF4">
        <w:rPr>
          <w:rFonts w:ascii="Arial" w:eastAsia="Times New Roman" w:hAnsi="Arial" w:cs="Arial"/>
          <w:sz w:val="28"/>
          <w:szCs w:val="28"/>
        </w:rPr>
        <w:t xml:space="preserve">an opportunity to comment on </w:t>
      </w:r>
      <w:r w:rsidR="00745FF4">
        <w:rPr>
          <w:rFonts w:ascii="Arial" w:eastAsia="Times New Roman" w:hAnsi="Arial" w:cs="Arial"/>
          <w:sz w:val="28"/>
          <w:szCs w:val="28"/>
        </w:rPr>
        <w:t xml:space="preserve">an </w:t>
      </w:r>
      <w:r w:rsidR="003E7473" w:rsidRPr="00745FF4">
        <w:rPr>
          <w:rFonts w:ascii="Arial" w:eastAsia="Times New Roman" w:hAnsi="Arial" w:cs="Arial"/>
          <w:sz w:val="28"/>
          <w:szCs w:val="28"/>
        </w:rPr>
        <w:t>appropriate response</w:t>
      </w:r>
      <w:r w:rsidR="00006BF4" w:rsidRPr="00745FF4">
        <w:rPr>
          <w:rFonts w:ascii="Arial" w:eastAsia="Times New Roman" w:hAnsi="Arial" w:cs="Arial"/>
          <w:sz w:val="28"/>
          <w:szCs w:val="28"/>
        </w:rPr>
        <w:t xml:space="preserve">; </w:t>
      </w:r>
      <w:r w:rsidR="00586B93" w:rsidRPr="00745FF4">
        <w:rPr>
          <w:rFonts w:ascii="Arial" w:eastAsia="Times New Roman" w:hAnsi="Arial" w:cs="Arial"/>
          <w:sz w:val="28"/>
          <w:szCs w:val="28"/>
        </w:rPr>
        <w:t>and (3) must have the re</w:t>
      </w:r>
      <w:r w:rsidR="00185F0F" w:rsidRPr="00745FF4">
        <w:rPr>
          <w:rFonts w:ascii="Arial" w:eastAsia="Times New Roman" w:hAnsi="Arial" w:cs="Arial"/>
          <w:sz w:val="28"/>
          <w:szCs w:val="28"/>
        </w:rPr>
        <w:t xml:space="preserve">cord reflect that </w:t>
      </w:r>
      <w:r w:rsidR="00BD670E" w:rsidRPr="00745FF4">
        <w:rPr>
          <w:rFonts w:ascii="Arial" w:eastAsia="Times New Roman" w:hAnsi="Arial" w:cs="Arial"/>
          <w:sz w:val="28"/>
          <w:szCs w:val="28"/>
        </w:rPr>
        <w:t>the foregoing</w:t>
      </w:r>
      <w:r w:rsidR="00A800B9" w:rsidRPr="00745FF4">
        <w:rPr>
          <w:rFonts w:ascii="Arial" w:eastAsia="Times New Roman" w:hAnsi="Arial" w:cs="Arial"/>
          <w:sz w:val="28"/>
          <w:szCs w:val="28"/>
        </w:rPr>
        <w:t xml:space="preserve"> was done</w:t>
      </w:r>
      <w:r w:rsidR="00BD670E" w:rsidRPr="00745FF4">
        <w:rPr>
          <w:rFonts w:ascii="Arial" w:eastAsia="Times New Roman" w:hAnsi="Arial" w:cs="Arial"/>
          <w:sz w:val="28"/>
          <w:szCs w:val="28"/>
        </w:rPr>
        <w:t>.</w:t>
      </w:r>
    </w:p>
    <w:p w14:paraId="3963FD4D" w14:textId="34085D47" w:rsidR="004C54A8" w:rsidRPr="00CE49D1" w:rsidRDefault="004C54A8" w:rsidP="00DF37A4">
      <w:pPr>
        <w:autoSpaceDE w:val="0"/>
        <w:autoSpaceDN w:val="0"/>
        <w:adjustRightInd w:val="0"/>
        <w:snapToGrid w:val="0"/>
        <w:spacing w:before="16" w:after="0" w:line="276" w:lineRule="auto"/>
        <w:jc w:val="both"/>
        <w:rPr>
          <w:rFonts w:ascii="Arial" w:eastAsia="Times New Roman" w:hAnsi="Arial" w:cs="Arial"/>
          <w:color w:val="000000"/>
          <w:sz w:val="28"/>
          <w:szCs w:val="28"/>
        </w:rPr>
      </w:pPr>
    </w:p>
    <w:p w14:paraId="05BFB811" w14:textId="5962466F" w:rsidR="00A53818" w:rsidRPr="00CE49D1" w:rsidRDefault="003E0F80" w:rsidP="00DF37A4">
      <w:pPr>
        <w:autoSpaceDE w:val="0"/>
        <w:autoSpaceDN w:val="0"/>
        <w:adjustRightInd w:val="0"/>
        <w:snapToGrid w:val="0"/>
        <w:spacing w:before="16" w:after="0" w:line="276" w:lineRule="auto"/>
        <w:jc w:val="both"/>
        <w:rPr>
          <w:rFonts w:ascii="Arial" w:eastAsia="Times New Roman" w:hAnsi="Arial" w:cs="Arial"/>
          <w:color w:val="000000"/>
          <w:sz w:val="28"/>
          <w:szCs w:val="28"/>
        </w:rPr>
      </w:pPr>
      <w:r w:rsidRPr="00CE49D1">
        <w:rPr>
          <w:rFonts w:ascii="Arial" w:eastAsia="Times New Roman" w:hAnsi="Arial" w:cs="Arial"/>
          <w:color w:val="000000"/>
          <w:sz w:val="28"/>
          <w:szCs w:val="28"/>
        </w:rPr>
        <w:tab/>
        <w:t xml:space="preserve">If the defense is unaware of </w:t>
      </w:r>
      <w:r w:rsidR="00F71FE7" w:rsidRPr="00CE49D1">
        <w:rPr>
          <w:rFonts w:ascii="Arial" w:eastAsia="Times New Roman" w:hAnsi="Arial" w:cs="Arial"/>
          <w:color w:val="000000"/>
          <w:sz w:val="28"/>
          <w:szCs w:val="28"/>
        </w:rPr>
        <w:t>a jury</w:t>
      </w:r>
      <w:r w:rsidR="00952D65" w:rsidRPr="00CE49D1">
        <w:rPr>
          <w:rFonts w:ascii="Arial" w:eastAsia="Times New Roman" w:hAnsi="Arial" w:cs="Arial"/>
          <w:color w:val="000000"/>
          <w:sz w:val="28"/>
          <w:szCs w:val="28"/>
        </w:rPr>
        <w:t>’s</w:t>
      </w:r>
      <w:r w:rsidRPr="00CE49D1">
        <w:rPr>
          <w:rFonts w:ascii="Arial" w:eastAsia="Times New Roman" w:hAnsi="Arial" w:cs="Arial"/>
          <w:color w:val="000000"/>
          <w:sz w:val="28"/>
          <w:szCs w:val="28"/>
        </w:rPr>
        <w:t xml:space="preserve"> </w:t>
      </w:r>
      <w:r w:rsidR="003E7473" w:rsidRPr="00CE49D1">
        <w:rPr>
          <w:rFonts w:ascii="Arial" w:eastAsia="Times New Roman" w:hAnsi="Arial" w:cs="Arial"/>
          <w:color w:val="000000"/>
          <w:sz w:val="28"/>
          <w:szCs w:val="28"/>
        </w:rPr>
        <w:t>inquiry</w:t>
      </w:r>
      <w:r w:rsidR="00952D65" w:rsidRPr="00CE49D1">
        <w:rPr>
          <w:rFonts w:ascii="Arial" w:eastAsia="Times New Roman" w:hAnsi="Arial" w:cs="Arial"/>
          <w:color w:val="000000"/>
          <w:sz w:val="28"/>
          <w:szCs w:val="28"/>
        </w:rPr>
        <w:t xml:space="preserve"> about a substantive matter</w:t>
      </w:r>
      <w:r w:rsidR="00E33FFB" w:rsidRPr="00CE49D1">
        <w:rPr>
          <w:rFonts w:ascii="Arial" w:eastAsia="Times New Roman" w:hAnsi="Arial" w:cs="Arial"/>
          <w:color w:val="000000"/>
          <w:sz w:val="28"/>
          <w:szCs w:val="28"/>
        </w:rPr>
        <w:t xml:space="preserve"> or </w:t>
      </w:r>
      <w:r w:rsidR="00836462" w:rsidRPr="00CE49D1">
        <w:rPr>
          <w:rFonts w:ascii="Arial" w:eastAsia="Times New Roman" w:hAnsi="Arial" w:cs="Arial"/>
          <w:color w:val="000000"/>
          <w:sz w:val="28"/>
          <w:szCs w:val="28"/>
        </w:rPr>
        <w:t>is not given meaningful notice of the precise content of a substantive jury inquiry,</w:t>
      </w:r>
      <w:r w:rsidRPr="00CE49D1">
        <w:rPr>
          <w:rFonts w:ascii="Arial" w:eastAsia="Times New Roman" w:hAnsi="Arial" w:cs="Arial"/>
          <w:color w:val="000000"/>
          <w:sz w:val="28"/>
          <w:szCs w:val="28"/>
        </w:rPr>
        <w:t xml:space="preserve"> or if the defense </w:t>
      </w:r>
      <w:r w:rsidR="00226F8E" w:rsidRPr="00CE49D1">
        <w:rPr>
          <w:rFonts w:ascii="Arial" w:eastAsia="Times New Roman" w:hAnsi="Arial" w:cs="Arial"/>
          <w:color w:val="000000"/>
          <w:sz w:val="28"/>
          <w:szCs w:val="28"/>
        </w:rPr>
        <w:t xml:space="preserve">is denied an opportunity to </w:t>
      </w:r>
      <w:r w:rsidR="00446B59" w:rsidRPr="00CE49D1">
        <w:rPr>
          <w:rFonts w:ascii="Arial" w:eastAsia="Times New Roman" w:hAnsi="Arial" w:cs="Arial"/>
          <w:color w:val="000000"/>
          <w:sz w:val="28"/>
          <w:szCs w:val="28"/>
        </w:rPr>
        <w:t>comment on the appropriate response</w:t>
      </w:r>
      <w:r w:rsidR="003B61C2" w:rsidRPr="00CE49D1">
        <w:rPr>
          <w:rFonts w:ascii="Arial" w:eastAsia="Times New Roman" w:hAnsi="Arial" w:cs="Arial"/>
          <w:color w:val="000000"/>
          <w:sz w:val="28"/>
          <w:szCs w:val="28"/>
        </w:rPr>
        <w:t xml:space="preserve">, the court will have committed a </w:t>
      </w:r>
      <w:r w:rsidR="00544638" w:rsidRPr="00CE49D1">
        <w:rPr>
          <w:rFonts w:ascii="Arial" w:eastAsia="Times New Roman" w:hAnsi="Arial" w:cs="Arial"/>
          <w:color w:val="000000"/>
          <w:sz w:val="28"/>
          <w:szCs w:val="28"/>
        </w:rPr>
        <w:t>“mode of proceeding</w:t>
      </w:r>
      <w:r w:rsidR="00E45DA1" w:rsidRPr="00CE49D1">
        <w:rPr>
          <w:rFonts w:ascii="Arial" w:eastAsia="Times New Roman" w:hAnsi="Arial" w:cs="Arial"/>
          <w:color w:val="000000"/>
          <w:sz w:val="28"/>
          <w:szCs w:val="28"/>
        </w:rPr>
        <w:t>s</w:t>
      </w:r>
      <w:r w:rsidR="00544638" w:rsidRPr="00CE49D1">
        <w:rPr>
          <w:rFonts w:ascii="Arial" w:eastAsia="Times New Roman" w:hAnsi="Arial" w:cs="Arial"/>
          <w:color w:val="000000"/>
          <w:sz w:val="28"/>
          <w:szCs w:val="28"/>
        </w:rPr>
        <w:t xml:space="preserve">” error for which a defense protest is not required to preserve the issue for </w:t>
      </w:r>
      <w:r w:rsidR="00317201" w:rsidRPr="00CE49D1">
        <w:rPr>
          <w:rFonts w:ascii="Arial" w:eastAsia="Times New Roman" w:hAnsi="Arial" w:cs="Arial"/>
          <w:color w:val="000000"/>
          <w:sz w:val="28"/>
          <w:szCs w:val="28"/>
        </w:rPr>
        <w:t xml:space="preserve">appellate review </w:t>
      </w:r>
      <w:r w:rsidR="00544638" w:rsidRPr="00CE49D1">
        <w:rPr>
          <w:rFonts w:ascii="Arial" w:eastAsia="Times New Roman" w:hAnsi="Arial" w:cs="Arial"/>
          <w:color w:val="000000"/>
          <w:sz w:val="28"/>
          <w:szCs w:val="28"/>
        </w:rPr>
        <w:t xml:space="preserve">and the error requires a reversal of the judgment regardless of whether demonstrated prejudice ensued. </w:t>
      </w:r>
      <w:bookmarkStart w:id="1" w:name="_Hlk523838915"/>
      <w:r w:rsidR="00FF0071" w:rsidRPr="00CE49D1">
        <w:rPr>
          <w:rFonts w:ascii="Arial" w:eastAsia="Times New Roman" w:hAnsi="Arial" w:cs="Arial"/>
          <w:i/>
          <w:color w:val="000000"/>
          <w:sz w:val="28"/>
          <w:szCs w:val="28"/>
          <w:lang w:val="x-none"/>
        </w:rPr>
        <w:t>People v. O’Rama</w:t>
      </w:r>
      <w:r w:rsidR="00FF0071" w:rsidRPr="00CE49D1">
        <w:rPr>
          <w:rFonts w:ascii="Arial" w:eastAsia="Times New Roman" w:hAnsi="Arial" w:cs="Arial"/>
          <w:color w:val="000000"/>
          <w:sz w:val="28"/>
          <w:szCs w:val="28"/>
          <w:lang w:val="x-none"/>
        </w:rPr>
        <w:t>,</w:t>
      </w:r>
      <w:r w:rsidR="00FF0071" w:rsidRPr="00CE49D1">
        <w:rPr>
          <w:rFonts w:ascii="Arial" w:eastAsia="Times New Roman" w:hAnsi="Arial" w:cs="Arial"/>
          <w:color w:val="000000"/>
          <w:sz w:val="28"/>
          <w:szCs w:val="28"/>
        </w:rPr>
        <w:t xml:space="preserve"> </w:t>
      </w:r>
      <w:r w:rsidR="00FF0071" w:rsidRPr="00CE49D1">
        <w:rPr>
          <w:rFonts w:ascii="Arial" w:eastAsia="Times New Roman" w:hAnsi="Arial" w:cs="Arial"/>
          <w:color w:val="000000"/>
          <w:sz w:val="28"/>
          <w:szCs w:val="28"/>
          <w:lang w:val="x-none"/>
        </w:rPr>
        <w:t>78 N.Y.2d 270</w:t>
      </w:r>
      <w:r w:rsidR="00FF0071" w:rsidRPr="00CE49D1">
        <w:rPr>
          <w:rFonts w:ascii="Arial" w:eastAsia="Times New Roman" w:hAnsi="Arial" w:cs="Arial"/>
          <w:color w:val="000000"/>
          <w:sz w:val="28"/>
          <w:szCs w:val="28"/>
        </w:rPr>
        <w:t xml:space="preserve"> </w:t>
      </w:r>
      <w:r w:rsidR="00FF0071" w:rsidRPr="00CE49D1">
        <w:rPr>
          <w:rFonts w:ascii="Arial" w:eastAsia="Times New Roman" w:hAnsi="Arial" w:cs="Arial"/>
          <w:color w:val="000000"/>
          <w:sz w:val="28"/>
          <w:szCs w:val="28"/>
          <w:lang w:val="x-none"/>
        </w:rPr>
        <w:t>(1991)</w:t>
      </w:r>
      <w:bookmarkEnd w:id="1"/>
      <w:r w:rsidR="005C5906" w:rsidRPr="00CE49D1">
        <w:rPr>
          <w:rFonts w:ascii="Arial" w:eastAsia="Times New Roman" w:hAnsi="Arial" w:cs="Arial"/>
          <w:color w:val="000000"/>
          <w:sz w:val="28"/>
          <w:szCs w:val="28"/>
        </w:rPr>
        <w:t>;</w:t>
      </w:r>
      <w:r w:rsidR="00952D65" w:rsidRPr="00CE49D1">
        <w:rPr>
          <w:rFonts w:ascii="Arial" w:eastAsia="Times New Roman" w:hAnsi="Arial" w:cs="Arial"/>
          <w:color w:val="000000"/>
          <w:sz w:val="28"/>
          <w:szCs w:val="28"/>
        </w:rPr>
        <w:t xml:space="preserve"> </w:t>
      </w:r>
      <w:r w:rsidR="00FF0071" w:rsidRPr="00CE49D1">
        <w:rPr>
          <w:rFonts w:ascii="Arial" w:eastAsia="Times New Roman" w:hAnsi="Arial" w:cs="Arial"/>
          <w:i/>
          <w:color w:val="000000"/>
          <w:sz w:val="28"/>
          <w:szCs w:val="28"/>
          <w:lang w:val="x-none"/>
        </w:rPr>
        <w:t>People v. Cook</w:t>
      </w:r>
      <w:r w:rsidR="00FF0071" w:rsidRPr="00CE49D1">
        <w:rPr>
          <w:rFonts w:ascii="Arial" w:eastAsia="Times New Roman" w:hAnsi="Arial" w:cs="Arial"/>
          <w:color w:val="000000"/>
          <w:sz w:val="28"/>
          <w:szCs w:val="28"/>
          <w:lang w:val="x-none"/>
        </w:rPr>
        <w:t>, 85 N.Y.2d 928</w:t>
      </w:r>
      <w:r w:rsidR="00FF0071" w:rsidRPr="00CE49D1">
        <w:rPr>
          <w:rFonts w:ascii="Arial" w:eastAsia="Times New Roman" w:hAnsi="Arial" w:cs="Arial"/>
          <w:color w:val="000000"/>
          <w:sz w:val="28"/>
          <w:szCs w:val="28"/>
        </w:rPr>
        <w:t xml:space="preserve"> </w:t>
      </w:r>
      <w:r w:rsidR="00FF0071" w:rsidRPr="00CE49D1">
        <w:rPr>
          <w:rFonts w:ascii="Arial" w:eastAsia="Times New Roman" w:hAnsi="Arial" w:cs="Arial"/>
          <w:color w:val="000000"/>
          <w:sz w:val="28"/>
          <w:szCs w:val="28"/>
          <w:lang w:val="x-none"/>
        </w:rPr>
        <w:t>(1995)</w:t>
      </w:r>
      <w:r w:rsidR="004014D8" w:rsidRPr="00CE49D1">
        <w:rPr>
          <w:rFonts w:ascii="Arial" w:eastAsia="Times New Roman" w:hAnsi="Arial" w:cs="Arial"/>
          <w:color w:val="000000"/>
          <w:sz w:val="28"/>
          <w:szCs w:val="28"/>
        </w:rPr>
        <w:t xml:space="preserve"> </w:t>
      </w:r>
      <w:r w:rsidR="00B2678F" w:rsidRPr="00CE49D1">
        <w:rPr>
          <w:rFonts w:ascii="Arial" w:eastAsia="Times New Roman" w:hAnsi="Arial" w:cs="Arial"/>
          <w:color w:val="000000"/>
          <w:sz w:val="28"/>
          <w:szCs w:val="28"/>
        </w:rPr>
        <w:t>(</w:t>
      </w:r>
      <w:r w:rsidR="00B72CC7" w:rsidRPr="00CE49D1">
        <w:rPr>
          <w:rFonts w:ascii="Arial" w:eastAsia="Times New Roman" w:hAnsi="Arial" w:cs="Arial"/>
          <w:color w:val="000000"/>
          <w:sz w:val="28"/>
          <w:szCs w:val="28"/>
        </w:rPr>
        <w:t>failure to provide defense an opportunity to comment on a response to the jury note)</w:t>
      </w:r>
      <w:r w:rsidR="00C30E91" w:rsidRPr="00CE49D1">
        <w:rPr>
          <w:rFonts w:ascii="Arial" w:eastAsia="Times New Roman" w:hAnsi="Arial" w:cs="Arial"/>
          <w:color w:val="000000"/>
          <w:sz w:val="28"/>
          <w:szCs w:val="28"/>
        </w:rPr>
        <w:t>;</w:t>
      </w:r>
      <w:r w:rsidR="00331B01" w:rsidRPr="00CE49D1">
        <w:rPr>
          <w:rFonts w:ascii="Arial" w:eastAsia="Times New Roman" w:hAnsi="Arial" w:cs="Arial"/>
          <w:color w:val="000000"/>
          <w:sz w:val="28"/>
          <w:szCs w:val="28"/>
        </w:rPr>
        <w:t xml:space="preserve"> </w:t>
      </w:r>
      <w:r w:rsidR="00FF0071" w:rsidRPr="00CE49D1">
        <w:rPr>
          <w:rFonts w:ascii="Arial" w:eastAsia="Times New Roman" w:hAnsi="Arial" w:cs="Arial"/>
          <w:color w:val="000000"/>
          <w:sz w:val="28"/>
          <w:szCs w:val="28"/>
        </w:rPr>
        <w:t xml:space="preserve"> </w:t>
      </w:r>
      <w:r w:rsidR="00FF0071" w:rsidRPr="00CE49D1">
        <w:rPr>
          <w:rFonts w:ascii="Arial" w:eastAsia="Times New Roman" w:hAnsi="Arial" w:cs="Arial"/>
          <w:i/>
          <w:color w:val="000000"/>
          <w:sz w:val="28"/>
          <w:szCs w:val="28"/>
          <w:lang w:val="x-none"/>
        </w:rPr>
        <w:t>People v. Kisoon</w:t>
      </w:r>
      <w:r w:rsidR="00FF0071" w:rsidRPr="00CE49D1">
        <w:rPr>
          <w:rFonts w:ascii="Arial" w:eastAsia="Times New Roman" w:hAnsi="Arial" w:cs="Arial"/>
          <w:color w:val="000000"/>
          <w:sz w:val="28"/>
          <w:szCs w:val="28"/>
          <w:lang w:val="x-none"/>
        </w:rPr>
        <w:t>, 8 N.Y.3d 129</w:t>
      </w:r>
      <w:r w:rsidR="003353DE" w:rsidRPr="00CE49D1">
        <w:rPr>
          <w:rFonts w:ascii="Arial" w:eastAsia="Times New Roman" w:hAnsi="Arial" w:cs="Arial"/>
          <w:color w:val="000000"/>
          <w:sz w:val="28"/>
          <w:szCs w:val="28"/>
        </w:rPr>
        <w:t xml:space="preserve">, 135 </w:t>
      </w:r>
      <w:r w:rsidR="00FF0071" w:rsidRPr="00CE49D1">
        <w:rPr>
          <w:rFonts w:ascii="Arial" w:eastAsia="Times New Roman" w:hAnsi="Arial" w:cs="Arial"/>
          <w:color w:val="000000"/>
          <w:sz w:val="28"/>
          <w:szCs w:val="28"/>
          <w:lang w:val="x-none"/>
        </w:rPr>
        <w:t>(2007)</w:t>
      </w:r>
      <w:r w:rsidR="00FF1A78" w:rsidRPr="00CE49D1">
        <w:rPr>
          <w:rFonts w:ascii="Arial" w:eastAsia="Times New Roman" w:hAnsi="Arial" w:cs="Arial"/>
          <w:color w:val="000000"/>
          <w:sz w:val="28"/>
          <w:szCs w:val="28"/>
        </w:rPr>
        <w:t xml:space="preserve"> (“failure to read the note verbatim deprived counsel of the opportunity to accurately analyze the jury's deliberations and frame intelligent suggestions for the court's response”)</w:t>
      </w:r>
      <w:r w:rsidR="00331B01" w:rsidRPr="00CE49D1">
        <w:rPr>
          <w:rFonts w:ascii="Arial" w:eastAsia="Times New Roman" w:hAnsi="Arial" w:cs="Arial"/>
          <w:color w:val="000000"/>
          <w:sz w:val="28"/>
          <w:szCs w:val="28"/>
        </w:rPr>
        <w:t xml:space="preserve">; </w:t>
      </w:r>
      <w:r w:rsidR="005C5906" w:rsidRPr="00CE49D1">
        <w:rPr>
          <w:rFonts w:ascii="Arial" w:eastAsia="Times New Roman" w:hAnsi="Arial" w:cs="Arial"/>
          <w:i/>
          <w:iCs/>
          <w:color w:val="000000"/>
          <w:sz w:val="28"/>
          <w:szCs w:val="28"/>
        </w:rPr>
        <w:t>People v. Nealon</w:t>
      </w:r>
      <w:r w:rsidR="005C5906" w:rsidRPr="00CE49D1">
        <w:rPr>
          <w:rFonts w:ascii="Arial" w:eastAsia="Times New Roman" w:hAnsi="Arial" w:cs="Arial"/>
          <w:color w:val="000000"/>
          <w:sz w:val="28"/>
          <w:szCs w:val="28"/>
        </w:rPr>
        <w:t>, 26 N.Y.3d 152, 157 (2015) (requiring “meaningful notice”);</w:t>
      </w:r>
      <w:r w:rsidR="00331B01" w:rsidRPr="00CE49D1">
        <w:rPr>
          <w:rFonts w:ascii="Arial" w:eastAsia="Times New Roman" w:hAnsi="Arial" w:cs="Arial"/>
          <w:color w:val="000000"/>
          <w:sz w:val="28"/>
          <w:szCs w:val="28"/>
        </w:rPr>
        <w:t xml:space="preserve"> </w:t>
      </w:r>
      <w:r w:rsidR="003353DE" w:rsidRPr="00CE49D1">
        <w:rPr>
          <w:rFonts w:ascii="Arial" w:eastAsia="Times New Roman" w:hAnsi="Arial" w:cs="Arial"/>
          <w:i/>
          <w:color w:val="000000"/>
          <w:sz w:val="28"/>
          <w:szCs w:val="28"/>
          <w:lang w:val="x-none"/>
        </w:rPr>
        <w:t>People v. Mendez</w:t>
      </w:r>
      <w:r w:rsidR="003353DE" w:rsidRPr="00CE49D1">
        <w:rPr>
          <w:rFonts w:ascii="Arial" w:eastAsia="Times New Roman" w:hAnsi="Arial" w:cs="Arial"/>
          <w:color w:val="000000"/>
          <w:sz w:val="28"/>
          <w:szCs w:val="28"/>
          <w:lang w:val="x-none"/>
        </w:rPr>
        <w:t>, 26 N.Y.3d 1004 (2015)</w:t>
      </w:r>
      <w:r w:rsidR="00331B01" w:rsidRPr="00CE49D1">
        <w:rPr>
          <w:rFonts w:ascii="Arial" w:eastAsia="Times New Roman" w:hAnsi="Arial" w:cs="Arial"/>
          <w:color w:val="000000"/>
          <w:sz w:val="28"/>
          <w:szCs w:val="28"/>
        </w:rPr>
        <w:t>.</w:t>
      </w:r>
      <w:r w:rsidR="00E030C5" w:rsidRPr="00CE49D1">
        <w:rPr>
          <w:rStyle w:val="EndnoteReference"/>
          <w:rFonts w:ascii="Arial" w:eastAsia="Times New Roman" w:hAnsi="Arial" w:cs="Arial"/>
          <w:color w:val="000000"/>
          <w:sz w:val="28"/>
          <w:szCs w:val="28"/>
        </w:rPr>
        <w:endnoteReference w:id="3"/>
      </w:r>
    </w:p>
    <w:p w14:paraId="0AA2853F" w14:textId="77777777" w:rsidR="00A53818" w:rsidRPr="00CE49D1" w:rsidRDefault="00A53818" w:rsidP="00DF37A4">
      <w:pPr>
        <w:autoSpaceDE w:val="0"/>
        <w:autoSpaceDN w:val="0"/>
        <w:adjustRightInd w:val="0"/>
        <w:snapToGrid w:val="0"/>
        <w:spacing w:before="16" w:after="0" w:line="276" w:lineRule="auto"/>
        <w:jc w:val="both"/>
        <w:rPr>
          <w:rFonts w:ascii="Arial" w:eastAsia="Times New Roman" w:hAnsi="Arial" w:cs="Arial"/>
          <w:color w:val="000000"/>
          <w:sz w:val="28"/>
          <w:szCs w:val="28"/>
        </w:rPr>
      </w:pPr>
    </w:p>
    <w:p w14:paraId="216CD43B" w14:textId="12A64B62" w:rsidR="00317201" w:rsidRPr="00CE49D1" w:rsidRDefault="001A7706" w:rsidP="00DF37A4">
      <w:pPr>
        <w:autoSpaceDE w:val="0"/>
        <w:autoSpaceDN w:val="0"/>
        <w:adjustRightInd w:val="0"/>
        <w:snapToGrid w:val="0"/>
        <w:spacing w:before="16" w:after="0" w:line="276" w:lineRule="auto"/>
        <w:jc w:val="both"/>
        <w:rPr>
          <w:rFonts w:ascii="Arial" w:eastAsia="Times New Roman" w:hAnsi="Arial" w:cs="Arial"/>
          <w:color w:val="000000"/>
          <w:sz w:val="28"/>
          <w:szCs w:val="28"/>
        </w:rPr>
      </w:pPr>
      <w:r w:rsidRPr="00CE49D1">
        <w:rPr>
          <w:rFonts w:ascii="Arial" w:eastAsia="Times New Roman" w:hAnsi="Arial" w:cs="Arial"/>
          <w:color w:val="000000"/>
          <w:sz w:val="28"/>
          <w:szCs w:val="28"/>
        </w:rPr>
        <w:tab/>
      </w:r>
      <w:r w:rsidR="00317201" w:rsidRPr="00CE49D1">
        <w:rPr>
          <w:rFonts w:ascii="Arial" w:eastAsia="Times New Roman" w:hAnsi="Arial" w:cs="Arial"/>
          <w:color w:val="000000"/>
          <w:sz w:val="28"/>
          <w:szCs w:val="28"/>
        </w:rPr>
        <w:t xml:space="preserve">The recommended </w:t>
      </w:r>
      <w:r w:rsidR="00317201" w:rsidRPr="00CE49D1">
        <w:rPr>
          <w:rFonts w:ascii="Arial" w:eastAsia="Times New Roman" w:hAnsi="Arial" w:cs="Arial"/>
          <w:i/>
          <w:color w:val="000000"/>
          <w:sz w:val="28"/>
          <w:szCs w:val="28"/>
        </w:rPr>
        <w:t>O’Rama</w:t>
      </w:r>
      <w:r w:rsidR="00317201" w:rsidRPr="00CE49D1">
        <w:rPr>
          <w:rFonts w:ascii="Arial" w:eastAsia="Times New Roman" w:hAnsi="Arial" w:cs="Arial"/>
          <w:color w:val="000000"/>
          <w:sz w:val="28"/>
          <w:szCs w:val="28"/>
        </w:rPr>
        <w:t xml:space="preserve"> procedure is</w:t>
      </w:r>
      <w:r w:rsidR="00FF0071" w:rsidRPr="00CE49D1">
        <w:rPr>
          <w:rFonts w:ascii="Arial" w:eastAsia="Times New Roman" w:hAnsi="Arial" w:cs="Arial"/>
          <w:color w:val="000000"/>
          <w:sz w:val="28"/>
          <w:szCs w:val="28"/>
        </w:rPr>
        <w:t xml:space="preserve"> as follows</w:t>
      </w:r>
      <w:r w:rsidR="00317201" w:rsidRPr="00CE49D1">
        <w:rPr>
          <w:rFonts w:ascii="Arial" w:eastAsia="Times New Roman" w:hAnsi="Arial" w:cs="Arial"/>
          <w:color w:val="000000"/>
          <w:sz w:val="28"/>
          <w:szCs w:val="28"/>
        </w:rPr>
        <w:t>:</w:t>
      </w:r>
    </w:p>
    <w:p w14:paraId="67169C18" w14:textId="77777777" w:rsidR="00317201" w:rsidRPr="00CE49D1" w:rsidRDefault="00317201" w:rsidP="00DF37A4">
      <w:pPr>
        <w:autoSpaceDE w:val="0"/>
        <w:autoSpaceDN w:val="0"/>
        <w:adjustRightInd w:val="0"/>
        <w:snapToGrid w:val="0"/>
        <w:spacing w:before="16" w:after="0" w:line="276" w:lineRule="auto"/>
        <w:jc w:val="both"/>
        <w:rPr>
          <w:rFonts w:ascii="Arial" w:eastAsia="Times New Roman" w:hAnsi="Arial" w:cs="Arial"/>
          <w:color w:val="000000"/>
          <w:sz w:val="28"/>
          <w:szCs w:val="28"/>
        </w:rPr>
      </w:pPr>
    </w:p>
    <w:p w14:paraId="696F3B8E" w14:textId="3D179248" w:rsidR="00FF0071" w:rsidRPr="00CE49D1" w:rsidRDefault="00317201" w:rsidP="00DF37A4">
      <w:pPr>
        <w:autoSpaceDE w:val="0"/>
        <w:autoSpaceDN w:val="0"/>
        <w:adjustRightInd w:val="0"/>
        <w:snapToGrid w:val="0"/>
        <w:spacing w:before="16" w:after="0" w:line="276" w:lineRule="auto"/>
        <w:jc w:val="both"/>
        <w:rPr>
          <w:rFonts w:ascii="Arial" w:eastAsia="Times New Roman" w:hAnsi="Arial" w:cs="Arial"/>
          <w:color w:val="000000"/>
          <w:sz w:val="28"/>
          <w:szCs w:val="28"/>
        </w:rPr>
      </w:pPr>
      <w:r w:rsidRPr="00CE49D1">
        <w:rPr>
          <w:rFonts w:ascii="Arial" w:eastAsia="Times New Roman" w:hAnsi="Arial" w:cs="Arial"/>
          <w:color w:val="000000"/>
          <w:sz w:val="28"/>
          <w:szCs w:val="28"/>
        </w:rPr>
        <w:tab/>
        <w:t>“</w:t>
      </w:r>
      <w:r w:rsidR="00FB29BA" w:rsidRPr="00CE49D1">
        <w:rPr>
          <w:rFonts w:ascii="Arial" w:eastAsia="Times New Roman" w:hAnsi="Arial" w:cs="Arial"/>
          <w:color w:val="000000"/>
          <w:sz w:val="28"/>
          <w:szCs w:val="28"/>
        </w:rPr>
        <w:t>[J]</w:t>
      </w:r>
      <w:r w:rsidRPr="00CE49D1">
        <w:rPr>
          <w:rFonts w:ascii="Arial" w:eastAsia="Times New Roman" w:hAnsi="Arial" w:cs="Arial"/>
          <w:color w:val="000000"/>
          <w:sz w:val="28"/>
          <w:szCs w:val="28"/>
        </w:rPr>
        <w:t xml:space="preserve">urors' inquiries must generally be submitted in writing </w:t>
      </w:r>
      <w:r w:rsidR="00FF0071" w:rsidRPr="00CE49D1">
        <w:rPr>
          <w:rFonts w:ascii="Arial" w:eastAsia="Times New Roman" w:hAnsi="Arial" w:cs="Arial"/>
          <w:color w:val="000000"/>
          <w:sz w:val="28"/>
          <w:szCs w:val="28"/>
        </w:rPr>
        <w:t xml:space="preserve">since </w:t>
      </w:r>
      <w:r w:rsidRPr="00CE49D1">
        <w:rPr>
          <w:rFonts w:ascii="Arial" w:eastAsia="Times New Roman" w:hAnsi="Arial" w:cs="Arial"/>
          <w:color w:val="000000"/>
          <w:sz w:val="28"/>
          <w:szCs w:val="28"/>
        </w:rPr>
        <w:t xml:space="preserve">. . . written communications are the surest method for affording the court and counsel an adequate opportunity to confer. Further, whenever a substantive written jury communication is received by the Judge, it should be marked as </w:t>
      </w:r>
      <w:r w:rsidRPr="00CE49D1">
        <w:rPr>
          <w:rFonts w:ascii="Arial" w:eastAsia="Times New Roman" w:hAnsi="Arial" w:cs="Arial"/>
          <w:color w:val="000000"/>
          <w:sz w:val="28"/>
          <w:szCs w:val="28"/>
        </w:rPr>
        <w:lastRenderedPageBreak/>
        <w:t xml:space="preserve">a court exhibit and, before the jury is recalled to the courtroom, read into the record in the presence of counsel. Such a step would ensure a clear and complete record, thereby facilitating adequate and fair appellate review. After the contents of the inquiry are placed on the record, counsel should be afforded a full opportunity to suggest appropriate responses. </w:t>
      </w:r>
      <w:r w:rsidR="00FF0071" w:rsidRPr="00CE49D1">
        <w:rPr>
          <w:rFonts w:ascii="Arial" w:eastAsia="Times New Roman" w:hAnsi="Arial" w:cs="Arial"/>
          <w:color w:val="000000"/>
          <w:sz w:val="28"/>
          <w:szCs w:val="28"/>
        </w:rPr>
        <w:t>. .. [T]</w:t>
      </w:r>
      <w:r w:rsidRPr="00CE49D1">
        <w:rPr>
          <w:rFonts w:ascii="Arial" w:eastAsia="Times New Roman" w:hAnsi="Arial" w:cs="Arial"/>
          <w:color w:val="000000"/>
          <w:sz w:val="28"/>
          <w:szCs w:val="28"/>
        </w:rPr>
        <w:t>he</w:t>
      </w:r>
      <w:r w:rsidR="00A93AD0" w:rsidRPr="00CE49D1">
        <w:rPr>
          <w:rFonts w:ascii="Arial" w:eastAsia="Times New Roman" w:hAnsi="Arial" w:cs="Arial"/>
          <w:color w:val="000000"/>
          <w:sz w:val="28"/>
          <w:szCs w:val="28"/>
        </w:rPr>
        <w:t xml:space="preserve"> </w:t>
      </w:r>
      <w:r w:rsidRPr="00CE49D1">
        <w:rPr>
          <w:rFonts w:ascii="Arial" w:eastAsia="Times New Roman" w:hAnsi="Arial" w:cs="Arial"/>
          <w:color w:val="000000"/>
          <w:sz w:val="28"/>
          <w:szCs w:val="28"/>
        </w:rPr>
        <w:t>trial</w:t>
      </w:r>
      <w:r w:rsidR="00A93AD0" w:rsidRPr="00CE49D1">
        <w:rPr>
          <w:rFonts w:ascii="Arial" w:eastAsia="Times New Roman" w:hAnsi="Arial" w:cs="Arial"/>
          <w:color w:val="000000"/>
          <w:sz w:val="28"/>
          <w:szCs w:val="28"/>
        </w:rPr>
        <w:t xml:space="preserve"> </w:t>
      </w:r>
      <w:r w:rsidRPr="00CE49D1">
        <w:rPr>
          <w:rFonts w:ascii="Arial" w:eastAsia="Times New Roman" w:hAnsi="Arial" w:cs="Arial"/>
          <w:color w:val="000000"/>
          <w:sz w:val="28"/>
          <w:szCs w:val="28"/>
        </w:rPr>
        <w:t xml:space="preserve">court should ordinarily apprise counsel of the substance of the responsive instruction it intends to give so that counsel can seek whatever modifications are deemed appropriate </w:t>
      </w:r>
      <w:r w:rsidRPr="00CE49D1">
        <w:rPr>
          <w:rFonts w:ascii="Arial" w:eastAsia="Times New Roman" w:hAnsi="Arial" w:cs="Arial"/>
          <w:i/>
          <w:iCs/>
          <w:color w:val="000000"/>
          <w:sz w:val="28"/>
          <w:szCs w:val="28"/>
        </w:rPr>
        <w:t>before</w:t>
      </w:r>
      <w:r w:rsidRPr="00CE49D1">
        <w:rPr>
          <w:rFonts w:ascii="Arial" w:eastAsia="Times New Roman" w:hAnsi="Arial" w:cs="Arial"/>
          <w:color w:val="000000"/>
          <w:sz w:val="28"/>
          <w:szCs w:val="28"/>
        </w:rPr>
        <w:t xml:space="preserve"> the jury is exposed to the potentially harmful information. Finally, when the jury is returned to the courtroom, the communication should be read in open court so that the individual jurors can correct any inaccuracies in the transcription of the inquiry and, in cases where the communication was sent by an individual juror, the rest of the jury panel can appreciate the purpose of the court's response and the context in which it is being made</w:t>
      </w:r>
      <w:r w:rsidR="00FF0071" w:rsidRPr="00CE49D1">
        <w:rPr>
          <w:rFonts w:ascii="Arial" w:eastAsia="Times New Roman" w:hAnsi="Arial" w:cs="Arial"/>
          <w:color w:val="000000"/>
          <w:sz w:val="28"/>
          <w:szCs w:val="28"/>
        </w:rPr>
        <w:t xml:space="preserve">. </w:t>
      </w:r>
      <w:r w:rsidR="007174B1" w:rsidRPr="00CE49D1">
        <w:rPr>
          <w:rFonts w:ascii="Arial" w:eastAsia="Times New Roman" w:hAnsi="Arial" w:cs="Arial"/>
          <w:i/>
          <w:iCs/>
          <w:color w:val="000000"/>
          <w:sz w:val="28"/>
          <w:szCs w:val="28"/>
        </w:rPr>
        <w:t>O’Rama at</w:t>
      </w:r>
      <w:r w:rsidRPr="00CE49D1">
        <w:rPr>
          <w:rFonts w:ascii="Arial" w:eastAsia="Times New Roman" w:hAnsi="Arial" w:cs="Arial"/>
          <w:color w:val="000000"/>
          <w:sz w:val="28"/>
          <w:szCs w:val="28"/>
        </w:rPr>
        <w:t xml:space="preserve"> 277–78</w:t>
      </w:r>
      <w:r w:rsidR="00A93AD0" w:rsidRPr="00CE49D1">
        <w:rPr>
          <w:rFonts w:ascii="Arial" w:eastAsia="Times New Roman" w:hAnsi="Arial" w:cs="Arial"/>
          <w:color w:val="000000"/>
          <w:sz w:val="28"/>
          <w:szCs w:val="28"/>
        </w:rPr>
        <w:t xml:space="preserve"> (emphasis in original)</w:t>
      </w:r>
      <w:r w:rsidR="00FF0071" w:rsidRPr="00CE49D1">
        <w:rPr>
          <w:rFonts w:ascii="Arial" w:eastAsia="Times New Roman" w:hAnsi="Arial" w:cs="Arial"/>
          <w:color w:val="000000"/>
          <w:sz w:val="28"/>
          <w:szCs w:val="28"/>
        </w:rPr>
        <w:t>.</w:t>
      </w:r>
    </w:p>
    <w:p w14:paraId="4C53B0D8" w14:textId="41B41C65" w:rsidR="004644E1" w:rsidRPr="00CE49D1" w:rsidRDefault="004644E1" w:rsidP="00DF37A4">
      <w:pPr>
        <w:autoSpaceDE w:val="0"/>
        <w:autoSpaceDN w:val="0"/>
        <w:adjustRightInd w:val="0"/>
        <w:snapToGrid w:val="0"/>
        <w:spacing w:before="16" w:after="0" w:line="276" w:lineRule="auto"/>
        <w:jc w:val="both"/>
        <w:rPr>
          <w:rFonts w:ascii="Arial" w:eastAsia="Times New Roman" w:hAnsi="Arial" w:cs="Arial"/>
          <w:color w:val="000000"/>
          <w:sz w:val="28"/>
          <w:szCs w:val="28"/>
        </w:rPr>
      </w:pPr>
    </w:p>
    <w:p w14:paraId="5C5C4A73" w14:textId="5D5375A6" w:rsidR="00D42107" w:rsidRPr="00CE49D1" w:rsidRDefault="007D0E70" w:rsidP="00DF37A4">
      <w:pPr>
        <w:autoSpaceDE w:val="0"/>
        <w:autoSpaceDN w:val="0"/>
        <w:adjustRightInd w:val="0"/>
        <w:snapToGrid w:val="0"/>
        <w:spacing w:before="16" w:after="0" w:line="276" w:lineRule="auto"/>
        <w:jc w:val="both"/>
        <w:rPr>
          <w:rFonts w:ascii="Arial" w:eastAsia="Times New Roman" w:hAnsi="Arial" w:cs="Arial"/>
          <w:color w:val="000000"/>
          <w:sz w:val="28"/>
          <w:szCs w:val="28"/>
        </w:rPr>
      </w:pPr>
      <w:r w:rsidRPr="00CE49D1">
        <w:rPr>
          <w:rFonts w:ascii="Arial" w:eastAsia="Times New Roman" w:hAnsi="Arial" w:cs="Arial"/>
          <w:color w:val="000000"/>
          <w:sz w:val="28"/>
          <w:szCs w:val="28"/>
        </w:rPr>
        <w:tab/>
        <w:t xml:space="preserve">The </w:t>
      </w:r>
      <w:r w:rsidR="004644E1" w:rsidRPr="00CE49D1">
        <w:rPr>
          <w:rFonts w:ascii="Arial" w:eastAsia="Times New Roman" w:hAnsi="Arial" w:cs="Arial"/>
          <w:color w:val="000000"/>
          <w:sz w:val="28"/>
          <w:szCs w:val="28"/>
        </w:rPr>
        <w:t>Court of Appeals has</w:t>
      </w:r>
      <w:r w:rsidRPr="00CE49D1">
        <w:rPr>
          <w:rFonts w:ascii="Arial" w:eastAsia="Times New Roman" w:hAnsi="Arial" w:cs="Arial"/>
          <w:color w:val="000000"/>
          <w:sz w:val="28"/>
          <w:szCs w:val="28"/>
        </w:rPr>
        <w:t xml:space="preserve"> further emphasized the importance of </w:t>
      </w:r>
      <w:r w:rsidR="00AD2009" w:rsidRPr="00CE49D1">
        <w:rPr>
          <w:rFonts w:ascii="Arial" w:eastAsia="Times New Roman" w:hAnsi="Arial" w:cs="Arial"/>
          <w:color w:val="000000"/>
          <w:sz w:val="28"/>
          <w:szCs w:val="28"/>
        </w:rPr>
        <w:t xml:space="preserve">the record demonstrating adherence to </w:t>
      </w:r>
      <w:r w:rsidR="00AD2009" w:rsidRPr="00CE49D1">
        <w:rPr>
          <w:rFonts w:ascii="Arial" w:eastAsia="Times New Roman" w:hAnsi="Arial" w:cs="Arial"/>
          <w:i/>
          <w:color w:val="000000"/>
          <w:sz w:val="28"/>
          <w:szCs w:val="28"/>
        </w:rPr>
        <w:t>O’Rama</w:t>
      </w:r>
      <w:r w:rsidR="004644E1" w:rsidRPr="00CE49D1">
        <w:rPr>
          <w:rFonts w:ascii="Arial" w:eastAsia="Times New Roman" w:hAnsi="Arial" w:cs="Arial"/>
          <w:color w:val="000000"/>
          <w:sz w:val="28"/>
          <w:szCs w:val="28"/>
        </w:rPr>
        <w:t xml:space="preserve">: “[W]here a trial transcript does not show compliance with </w:t>
      </w:r>
      <w:r w:rsidR="005B22B5" w:rsidRPr="00CE49D1">
        <w:rPr>
          <w:rFonts w:ascii="Arial" w:eastAsia="Times New Roman" w:hAnsi="Arial" w:cs="Arial"/>
          <w:i/>
          <w:color w:val="000000"/>
          <w:sz w:val="28"/>
          <w:szCs w:val="28"/>
        </w:rPr>
        <w:t>O’Rama’s</w:t>
      </w:r>
      <w:r w:rsidR="004644E1" w:rsidRPr="00CE49D1">
        <w:rPr>
          <w:rFonts w:ascii="Arial" w:eastAsia="Times New Roman" w:hAnsi="Arial" w:cs="Arial"/>
          <w:color w:val="000000"/>
          <w:sz w:val="28"/>
          <w:szCs w:val="28"/>
        </w:rPr>
        <w:t xml:space="preserve"> procedure as required by law, we cannot assume that the omission was remedied at an off-the-record conference that the transcript does not refer to.  In other words, in the absence of record proof that the trial court complied with its meaningful notice obligation under CPL 310.30, a mode of proceedings error occurred requiring reversal”. </w:t>
      </w:r>
      <w:r w:rsidR="004644E1" w:rsidRPr="00CE49D1">
        <w:rPr>
          <w:rFonts w:ascii="Arial" w:eastAsia="Times New Roman" w:hAnsi="Arial" w:cs="Arial"/>
          <w:i/>
          <w:color w:val="000000"/>
          <w:sz w:val="28"/>
          <w:szCs w:val="28"/>
        </w:rPr>
        <w:t>People v. Morrison</w:t>
      </w:r>
      <w:r w:rsidR="004644E1" w:rsidRPr="00CE49D1">
        <w:rPr>
          <w:rFonts w:ascii="Arial" w:eastAsia="Times New Roman" w:hAnsi="Arial" w:cs="Arial"/>
          <w:color w:val="000000"/>
          <w:sz w:val="28"/>
          <w:szCs w:val="28"/>
        </w:rPr>
        <w:t>, 2018 WL 3147613, at 1 (quotations and citations omitted)</w:t>
      </w:r>
      <w:r w:rsidR="007B5346" w:rsidRPr="00CE49D1">
        <w:rPr>
          <w:rFonts w:ascii="Arial" w:eastAsia="Times New Roman" w:hAnsi="Arial" w:cs="Arial"/>
          <w:color w:val="000000"/>
          <w:sz w:val="28"/>
          <w:szCs w:val="28"/>
        </w:rPr>
        <w:t xml:space="preserve">; </w:t>
      </w:r>
      <w:r w:rsidR="007B5346" w:rsidRPr="00CE49D1">
        <w:rPr>
          <w:rFonts w:ascii="Arial" w:eastAsia="Times New Roman" w:hAnsi="Arial" w:cs="Arial"/>
          <w:i/>
          <w:color w:val="000000"/>
          <w:sz w:val="28"/>
          <w:szCs w:val="28"/>
        </w:rPr>
        <w:t xml:space="preserve">see </w:t>
      </w:r>
      <w:r w:rsidR="004644E1" w:rsidRPr="00CE49D1">
        <w:rPr>
          <w:rFonts w:ascii="Arial" w:eastAsia="Times New Roman" w:hAnsi="Arial" w:cs="Arial"/>
          <w:i/>
          <w:color w:val="000000"/>
          <w:sz w:val="28"/>
          <w:szCs w:val="28"/>
        </w:rPr>
        <w:t>People v. Parker</w:t>
      </w:r>
      <w:r w:rsidR="004644E1" w:rsidRPr="00CE49D1">
        <w:rPr>
          <w:rFonts w:ascii="Arial" w:eastAsia="Times New Roman" w:hAnsi="Arial" w:cs="Arial"/>
          <w:color w:val="000000"/>
          <w:sz w:val="28"/>
          <w:szCs w:val="28"/>
        </w:rPr>
        <w:t xml:space="preserve">, 2018 WL 3147690 at 6 (“an insufficient record cannot be overcome with speculation about what might have occurred . . . the record must indicate compliance with adequate procedures under </w:t>
      </w:r>
      <w:r w:rsidR="004644E1" w:rsidRPr="00CE49D1">
        <w:rPr>
          <w:rFonts w:ascii="Arial" w:eastAsia="Times New Roman" w:hAnsi="Arial" w:cs="Arial"/>
          <w:i/>
          <w:color w:val="000000"/>
          <w:sz w:val="28"/>
          <w:szCs w:val="28"/>
        </w:rPr>
        <w:t>O’Rama</w:t>
      </w:r>
      <w:r w:rsidR="004644E1" w:rsidRPr="00CE49D1">
        <w:rPr>
          <w:rFonts w:ascii="Arial" w:eastAsia="Times New Roman" w:hAnsi="Arial" w:cs="Arial"/>
          <w:color w:val="000000"/>
          <w:sz w:val="28"/>
          <w:szCs w:val="28"/>
        </w:rPr>
        <w:t>”) (quotations and citations omitted).  Trial courts must therefore be scrupulous in ensuring that a complete record of its compliance with O’Rama requirements has been made.</w:t>
      </w:r>
    </w:p>
    <w:p w14:paraId="4A818BF9" w14:textId="77777777" w:rsidR="00D42107" w:rsidRPr="00CE49D1" w:rsidRDefault="00D42107" w:rsidP="00DF37A4">
      <w:pPr>
        <w:autoSpaceDE w:val="0"/>
        <w:autoSpaceDN w:val="0"/>
        <w:adjustRightInd w:val="0"/>
        <w:snapToGrid w:val="0"/>
        <w:spacing w:before="16" w:after="0" w:line="276" w:lineRule="auto"/>
        <w:jc w:val="both"/>
        <w:rPr>
          <w:rFonts w:ascii="Arial" w:eastAsia="Times New Roman" w:hAnsi="Arial" w:cs="Arial"/>
          <w:color w:val="000000"/>
          <w:sz w:val="28"/>
          <w:szCs w:val="28"/>
        </w:rPr>
      </w:pPr>
    </w:p>
    <w:p w14:paraId="567095E8" w14:textId="78988324" w:rsidR="009C034D" w:rsidRPr="00CE49D1" w:rsidRDefault="00D42107" w:rsidP="00DF37A4">
      <w:pPr>
        <w:autoSpaceDE w:val="0"/>
        <w:autoSpaceDN w:val="0"/>
        <w:adjustRightInd w:val="0"/>
        <w:snapToGrid w:val="0"/>
        <w:spacing w:before="16" w:after="0" w:line="276" w:lineRule="auto"/>
        <w:jc w:val="both"/>
        <w:rPr>
          <w:rFonts w:ascii="Arial" w:eastAsia="Times New Roman" w:hAnsi="Arial" w:cs="Arial"/>
          <w:color w:val="000000"/>
          <w:sz w:val="28"/>
          <w:szCs w:val="28"/>
        </w:rPr>
      </w:pPr>
      <w:r w:rsidRPr="00CE49D1">
        <w:rPr>
          <w:rFonts w:ascii="Arial" w:eastAsia="Times New Roman" w:hAnsi="Arial" w:cs="Arial"/>
          <w:color w:val="000000"/>
          <w:sz w:val="28"/>
          <w:szCs w:val="28"/>
        </w:rPr>
        <w:tab/>
      </w:r>
      <w:r w:rsidR="004644E1" w:rsidRPr="00CE49D1">
        <w:rPr>
          <w:rFonts w:ascii="Arial" w:eastAsia="Times New Roman" w:hAnsi="Arial" w:cs="Arial"/>
          <w:color w:val="000000"/>
          <w:sz w:val="28"/>
          <w:szCs w:val="28"/>
        </w:rPr>
        <w:t xml:space="preserve"> </w:t>
      </w:r>
    </w:p>
    <w:p w14:paraId="73C631D6" w14:textId="48E07D25" w:rsidR="00FF0071" w:rsidRPr="00CE49D1" w:rsidRDefault="002826BC" w:rsidP="00DF37A4">
      <w:pPr>
        <w:autoSpaceDE w:val="0"/>
        <w:autoSpaceDN w:val="0"/>
        <w:adjustRightInd w:val="0"/>
        <w:snapToGrid w:val="0"/>
        <w:spacing w:before="16" w:after="0" w:line="276" w:lineRule="auto"/>
        <w:jc w:val="center"/>
        <w:rPr>
          <w:rFonts w:ascii="Arial" w:eastAsia="Times New Roman" w:hAnsi="Arial" w:cs="Arial"/>
          <w:b/>
          <w:color w:val="000000"/>
          <w:sz w:val="28"/>
          <w:szCs w:val="28"/>
        </w:rPr>
      </w:pPr>
      <w:r w:rsidRPr="00CE49D1">
        <w:rPr>
          <w:rFonts w:ascii="Arial" w:eastAsia="Times New Roman" w:hAnsi="Arial" w:cs="Arial"/>
          <w:b/>
          <w:color w:val="000000"/>
          <w:sz w:val="28"/>
          <w:szCs w:val="28"/>
        </w:rPr>
        <w:lastRenderedPageBreak/>
        <w:t xml:space="preserve">Recommended </w:t>
      </w:r>
      <w:r w:rsidR="00FF0071" w:rsidRPr="00CE49D1">
        <w:rPr>
          <w:rFonts w:ascii="Arial" w:eastAsia="Times New Roman" w:hAnsi="Arial" w:cs="Arial"/>
          <w:b/>
          <w:color w:val="000000"/>
          <w:sz w:val="28"/>
          <w:szCs w:val="28"/>
        </w:rPr>
        <w:t>Colloquy</w:t>
      </w:r>
      <w:r w:rsidR="00F56734" w:rsidRPr="00CE49D1">
        <w:rPr>
          <w:rFonts w:ascii="Arial" w:eastAsia="Times New Roman" w:hAnsi="Arial" w:cs="Arial"/>
          <w:b/>
          <w:color w:val="000000"/>
          <w:sz w:val="28"/>
          <w:szCs w:val="28"/>
        </w:rPr>
        <w:t xml:space="preserve">  </w:t>
      </w:r>
    </w:p>
    <w:p w14:paraId="1572CADE" w14:textId="77777777" w:rsidR="00FF0071" w:rsidRPr="00CE49D1" w:rsidRDefault="00FF0071" w:rsidP="00DF37A4">
      <w:pPr>
        <w:autoSpaceDE w:val="0"/>
        <w:autoSpaceDN w:val="0"/>
        <w:adjustRightInd w:val="0"/>
        <w:snapToGrid w:val="0"/>
        <w:spacing w:before="16" w:after="0" w:line="276" w:lineRule="auto"/>
        <w:jc w:val="both"/>
        <w:rPr>
          <w:rFonts w:ascii="Arial" w:eastAsia="Times New Roman" w:hAnsi="Arial" w:cs="Arial"/>
          <w:b/>
          <w:color w:val="000000"/>
          <w:sz w:val="28"/>
          <w:szCs w:val="28"/>
        </w:rPr>
      </w:pPr>
    </w:p>
    <w:p w14:paraId="6FDD5E51" w14:textId="77777777" w:rsidR="00FF0071" w:rsidRPr="00CE49D1" w:rsidRDefault="00FF0071" w:rsidP="00DF37A4">
      <w:pPr>
        <w:autoSpaceDE w:val="0"/>
        <w:autoSpaceDN w:val="0"/>
        <w:adjustRightInd w:val="0"/>
        <w:snapToGrid w:val="0"/>
        <w:spacing w:before="16" w:after="0" w:line="276" w:lineRule="auto"/>
        <w:jc w:val="both"/>
        <w:rPr>
          <w:rFonts w:ascii="Arial" w:eastAsia="Times New Roman" w:hAnsi="Arial" w:cs="Arial"/>
          <w:b/>
          <w:color w:val="000000"/>
          <w:sz w:val="28"/>
          <w:szCs w:val="28"/>
        </w:rPr>
      </w:pPr>
    </w:p>
    <w:p w14:paraId="1A78480F" w14:textId="590806AF" w:rsidR="000667D9" w:rsidRPr="00CE49D1" w:rsidRDefault="00FF0071" w:rsidP="00DF37A4">
      <w:pPr>
        <w:spacing w:line="276" w:lineRule="auto"/>
        <w:jc w:val="both"/>
        <w:rPr>
          <w:rFonts w:ascii="Arial" w:hAnsi="Arial" w:cs="Arial"/>
          <w:i/>
          <w:sz w:val="28"/>
          <w:szCs w:val="28"/>
        </w:rPr>
      </w:pPr>
      <w:r w:rsidRPr="00CE49D1">
        <w:rPr>
          <w:rFonts w:ascii="Arial" w:hAnsi="Arial" w:cs="Arial"/>
          <w:b/>
          <w:sz w:val="28"/>
          <w:szCs w:val="28"/>
        </w:rPr>
        <w:t>THE CLERK</w:t>
      </w:r>
      <w:r w:rsidR="009318BE">
        <w:rPr>
          <w:rFonts w:ascii="Arial" w:hAnsi="Arial" w:cs="Arial"/>
          <w:b/>
          <w:sz w:val="28"/>
          <w:szCs w:val="28"/>
        </w:rPr>
        <w:t xml:space="preserve"> </w:t>
      </w:r>
      <w:r w:rsidR="009318BE" w:rsidRPr="00561067">
        <w:rPr>
          <w:rFonts w:ascii="Arial" w:hAnsi="Arial" w:cs="Arial"/>
          <w:sz w:val="28"/>
          <w:szCs w:val="28"/>
        </w:rPr>
        <w:t>(</w:t>
      </w:r>
      <w:r w:rsidR="009318BE" w:rsidRPr="009318BE">
        <w:rPr>
          <w:rFonts w:ascii="Arial" w:hAnsi="Arial" w:cs="Arial"/>
          <w:i/>
          <w:sz w:val="28"/>
          <w:szCs w:val="28"/>
        </w:rPr>
        <w:t>In open court</w:t>
      </w:r>
      <w:r w:rsidR="000667D9" w:rsidRPr="009318BE">
        <w:rPr>
          <w:rFonts w:ascii="Arial" w:hAnsi="Arial" w:cs="Arial"/>
          <w:i/>
          <w:sz w:val="28"/>
          <w:szCs w:val="28"/>
        </w:rPr>
        <w:t>,</w:t>
      </w:r>
      <w:r w:rsidR="009318BE" w:rsidRPr="009318BE">
        <w:rPr>
          <w:rFonts w:ascii="Arial" w:hAnsi="Arial" w:cs="Arial"/>
          <w:i/>
          <w:sz w:val="28"/>
          <w:szCs w:val="28"/>
        </w:rPr>
        <w:t xml:space="preserve"> upon the record</w:t>
      </w:r>
      <w:r w:rsidR="009318BE">
        <w:rPr>
          <w:rFonts w:ascii="Arial" w:hAnsi="Arial" w:cs="Arial"/>
          <w:sz w:val="28"/>
          <w:szCs w:val="28"/>
        </w:rPr>
        <w:t>):</w:t>
      </w:r>
      <w:r w:rsidRPr="00CE49D1">
        <w:rPr>
          <w:rFonts w:ascii="Arial" w:hAnsi="Arial" w:cs="Arial"/>
          <w:i/>
          <w:sz w:val="28"/>
          <w:szCs w:val="28"/>
        </w:rPr>
        <w:t xml:space="preserve"> </w:t>
      </w:r>
    </w:p>
    <w:p w14:paraId="37D1B0E7" w14:textId="5783756B" w:rsidR="00847A83" w:rsidRPr="00CE49D1" w:rsidRDefault="00E86225" w:rsidP="00DF37A4">
      <w:pPr>
        <w:spacing w:line="276" w:lineRule="auto"/>
        <w:jc w:val="both"/>
        <w:rPr>
          <w:rFonts w:ascii="Arial" w:hAnsi="Arial" w:cs="Arial"/>
          <w:sz w:val="28"/>
          <w:szCs w:val="28"/>
        </w:rPr>
      </w:pPr>
      <w:r w:rsidRPr="00CE49D1">
        <w:rPr>
          <w:rFonts w:ascii="Arial" w:hAnsi="Arial" w:cs="Arial"/>
          <w:sz w:val="28"/>
          <w:szCs w:val="28"/>
        </w:rPr>
        <w:t>This is a c</w:t>
      </w:r>
      <w:r w:rsidR="00FF0071" w:rsidRPr="00CE49D1">
        <w:rPr>
          <w:rFonts w:ascii="Arial" w:hAnsi="Arial" w:cs="Arial"/>
          <w:sz w:val="28"/>
          <w:szCs w:val="28"/>
        </w:rPr>
        <w:t xml:space="preserve">ontinuation of </w:t>
      </w:r>
      <w:r w:rsidR="00FF0071" w:rsidRPr="00561067">
        <w:rPr>
          <w:rFonts w:ascii="Arial" w:hAnsi="Arial" w:cs="Arial"/>
          <w:i/>
          <w:sz w:val="28"/>
          <w:szCs w:val="28"/>
        </w:rPr>
        <w:t>People v.</w:t>
      </w:r>
      <w:r w:rsidR="00FF0071" w:rsidRPr="00CE49D1">
        <w:rPr>
          <w:rFonts w:ascii="Arial" w:hAnsi="Arial" w:cs="Arial"/>
          <w:sz w:val="28"/>
          <w:szCs w:val="28"/>
        </w:rPr>
        <w:t xml:space="preserve"> (</w:t>
      </w:r>
      <w:r w:rsidR="00FF0071" w:rsidRPr="00CE49D1">
        <w:rPr>
          <w:rFonts w:ascii="Arial" w:hAnsi="Arial" w:cs="Arial"/>
          <w:i/>
          <w:sz w:val="28"/>
          <w:szCs w:val="28"/>
          <w:u w:val="single"/>
        </w:rPr>
        <w:t>specify</w:t>
      </w:r>
      <w:r w:rsidR="00FF0071" w:rsidRPr="00CE49D1">
        <w:rPr>
          <w:rFonts w:ascii="Arial" w:hAnsi="Arial" w:cs="Arial"/>
          <w:sz w:val="28"/>
          <w:szCs w:val="28"/>
        </w:rPr>
        <w:t xml:space="preserve">). </w:t>
      </w:r>
    </w:p>
    <w:p w14:paraId="13711A07" w14:textId="4F9F92DB" w:rsidR="00FF0071" w:rsidRPr="00CE49D1" w:rsidRDefault="00FF0071" w:rsidP="00DF37A4">
      <w:pPr>
        <w:spacing w:line="276" w:lineRule="auto"/>
        <w:jc w:val="both"/>
        <w:rPr>
          <w:rFonts w:ascii="Arial" w:hAnsi="Arial" w:cs="Arial"/>
          <w:sz w:val="28"/>
          <w:szCs w:val="28"/>
        </w:rPr>
      </w:pPr>
      <w:r w:rsidRPr="00CE49D1">
        <w:rPr>
          <w:rFonts w:ascii="Arial" w:hAnsi="Arial" w:cs="Arial"/>
          <w:sz w:val="28"/>
          <w:szCs w:val="28"/>
        </w:rPr>
        <w:t>The defendant, his/her attorney and the assistant district attorney are present.</w:t>
      </w:r>
      <w:r w:rsidR="002A45C5" w:rsidRPr="00CE49D1">
        <w:rPr>
          <w:rFonts w:ascii="Arial" w:hAnsi="Arial" w:cs="Arial"/>
          <w:sz w:val="28"/>
          <w:szCs w:val="28"/>
        </w:rPr>
        <w:t xml:space="preserve"> The jury is not present.</w:t>
      </w:r>
    </w:p>
    <w:p w14:paraId="75004952" w14:textId="77777777" w:rsidR="000667D9" w:rsidRPr="00CE49D1" w:rsidRDefault="000667D9" w:rsidP="00DF37A4">
      <w:pPr>
        <w:spacing w:line="276" w:lineRule="auto"/>
        <w:jc w:val="both"/>
        <w:rPr>
          <w:rFonts w:ascii="Arial" w:hAnsi="Arial" w:cs="Arial"/>
          <w:b/>
          <w:sz w:val="28"/>
          <w:szCs w:val="28"/>
        </w:rPr>
      </w:pPr>
    </w:p>
    <w:p w14:paraId="2709B345" w14:textId="77777777" w:rsidR="000667D9" w:rsidRPr="00CE49D1" w:rsidRDefault="00FF0071" w:rsidP="00DF37A4">
      <w:pPr>
        <w:spacing w:line="276" w:lineRule="auto"/>
        <w:jc w:val="both"/>
        <w:rPr>
          <w:rFonts w:ascii="Arial" w:hAnsi="Arial" w:cs="Arial"/>
          <w:b/>
          <w:sz w:val="28"/>
          <w:szCs w:val="28"/>
        </w:rPr>
      </w:pPr>
      <w:r w:rsidRPr="00CE49D1">
        <w:rPr>
          <w:rFonts w:ascii="Arial" w:hAnsi="Arial" w:cs="Arial"/>
          <w:b/>
          <w:sz w:val="28"/>
          <w:szCs w:val="28"/>
        </w:rPr>
        <w:t xml:space="preserve">THE COURT: </w:t>
      </w:r>
    </w:p>
    <w:p w14:paraId="482CAA6E" w14:textId="6BB4B424" w:rsidR="00847A83" w:rsidRPr="00CE49D1" w:rsidRDefault="00FF0071" w:rsidP="00DF37A4">
      <w:pPr>
        <w:spacing w:line="276" w:lineRule="auto"/>
        <w:jc w:val="both"/>
        <w:rPr>
          <w:rFonts w:ascii="Arial" w:hAnsi="Arial" w:cs="Arial"/>
          <w:sz w:val="28"/>
          <w:szCs w:val="28"/>
        </w:rPr>
      </w:pPr>
      <w:r w:rsidRPr="00CE49D1">
        <w:rPr>
          <w:rFonts w:ascii="Arial" w:hAnsi="Arial" w:cs="Arial"/>
          <w:sz w:val="28"/>
          <w:szCs w:val="28"/>
        </w:rPr>
        <w:t>I have received a Note from the Jury</w:t>
      </w:r>
      <w:r w:rsidRPr="00745FF4">
        <w:rPr>
          <w:rFonts w:ascii="Arial" w:hAnsi="Arial" w:cs="Arial"/>
          <w:sz w:val="28"/>
          <w:szCs w:val="28"/>
        </w:rPr>
        <w:t>.</w:t>
      </w:r>
      <w:r w:rsidR="005F269A" w:rsidRPr="00745FF4">
        <w:rPr>
          <w:rStyle w:val="EndnoteReference"/>
          <w:rFonts w:ascii="Arial" w:hAnsi="Arial" w:cs="Arial"/>
          <w:sz w:val="28"/>
          <w:szCs w:val="28"/>
        </w:rPr>
        <w:endnoteReference w:id="4"/>
      </w:r>
    </w:p>
    <w:p w14:paraId="3A2F27DF" w14:textId="1BDFD1D2" w:rsidR="000667D9" w:rsidRPr="00CE49D1" w:rsidRDefault="000667D9" w:rsidP="00DF37A4">
      <w:pPr>
        <w:spacing w:line="276" w:lineRule="auto"/>
        <w:jc w:val="both"/>
        <w:rPr>
          <w:rFonts w:ascii="Arial" w:hAnsi="Arial" w:cs="Arial"/>
          <w:sz w:val="28"/>
          <w:szCs w:val="28"/>
        </w:rPr>
      </w:pPr>
      <w:r w:rsidRPr="00CE49D1">
        <w:rPr>
          <w:rFonts w:ascii="Arial" w:hAnsi="Arial" w:cs="Arial"/>
          <w:sz w:val="28"/>
          <w:szCs w:val="28"/>
        </w:rPr>
        <w:t xml:space="preserve">It </w:t>
      </w:r>
      <w:r w:rsidR="00853659" w:rsidRPr="00CE49D1">
        <w:rPr>
          <w:rFonts w:ascii="Arial" w:hAnsi="Arial" w:cs="Arial"/>
          <w:sz w:val="28"/>
          <w:szCs w:val="28"/>
        </w:rPr>
        <w:t>[</w:t>
      </w:r>
      <w:r w:rsidRPr="00CE49D1">
        <w:rPr>
          <w:rFonts w:ascii="Arial" w:hAnsi="Arial" w:cs="Arial"/>
          <w:sz w:val="28"/>
          <w:szCs w:val="28"/>
        </w:rPr>
        <w:t>has been / will now be</w:t>
      </w:r>
      <w:r w:rsidR="00853659" w:rsidRPr="00CE49D1">
        <w:rPr>
          <w:rFonts w:ascii="Arial" w:hAnsi="Arial" w:cs="Arial"/>
          <w:sz w:val="28"/>
          <w:szCs w:val="28"/>
        </w:rPr>
        <w:t>]</w:t>
      </w:r>
      <w:r w:rsidRPr="00CE49D1">
        <w:rPr>
          <w:rFonts w:ascii="Arial" w:hAnsi="Arial" w:cs="Arial"/>
          <w:sz w:val="28"/>
          <w:szCs w:val="28"/>
        </w:rPr>
        <w:t xml:space="preserve"> marked as Court Exhibit # (</w:t>
      </w:r>
      <w:r w:rsidRPr="00CE49D1">
        <w:rPr>
          <w:rFonts w:ascii="Arial" w:hAnsi="Arial" w:cs="Arial"/>
          <w:i/>
          <w:sz w:val="28"/>
          <w:szCs w:val="28"/>
          <w:u w:val="single"/>
        </w:rPr>
        <w:t>specify</w:t>
      </w:r>
      <w:r w:rsidRPr="00CE49D1">
        <w:rPr>
          <w:rFonts w:ascii="Arial" w:hAnsi="Arial" w:cs="Arial"/>
          <w:sz w:val="28"/>
          <w:szCs w:val="28"/>
        </w:rPr>
        <w:t>).</w:t>
      </w:r>
    </w:p>
    <w:p w14:paraId="4F62F6E3" w14:textId="37229959" w:rsidR="004607FA" w:rsidRPr="00CE49D1" w:rsidRDefault="004607FA" w:rsidP="00DF37A4">
      <w:pPr>
        <w:spacing w:line="276" w:lineRule="auto"/>
        <w:jc w:val="both"/>
        <w:rPr>
          <w:rFonts w:ascii="Arial" w:hAnsi="Arial" w:cs="Arial"/>
          <w:sz w:val="28"/>
          <w:szCs w:val="28"/>
        </w:rPr>
      </w:pPr>
      <w:r w:rsidRPr="00CE49D1">
        <w:rPr>
          <w:rFonts w:ascii="Arial" w:hAnsi="Arial" w:cs="Arial"/>
          <w:i/>
          <w:sz w:val="28"/>
          <w:szCs w:val="28"/>
        </w:rPr>
        <w:t>Optional:</w:t>
      </w:r>
      <w:r w:rsidRPr="00CE49D1">
        <w:rPr>
          <w:rFonts w:ascii="Arial" w:hAnsi="Arial" w:cs="Arial"/>
          <w:sz w:val="28"/>
          <w:szCs w:val="28"/>
        </w:rPr>
        <w:t xml:space="preserve"> I have already shown the Note </w:t>
      </w:r>
      <w:r w:rsidR="00853659" w:rsidRPr="00CE49D1">
        <w:rPr>
          <w:rFonts w:ascii="Arial" w:hAnsi="Arial" w:cs="Arial"/>
          <w:sz w:val="28"/>
          <w:szCs w:val="28"/>
        </w:rPr>
        <w:t>[</w:t>
      </w:r>
      <w:r w:rsidRPr="00CE49D1">
        <w:rPr>
          <w:rFonts w:ascii="Arial" w:hAnsi="Arial" w:cs="Arial"/>
          <w:sz w:val="28"/>
          <w:szCs w:val="28"/>
        </w:rPr>
        <w:t>or given a copy of the Note</w:t>
      </w:r>
      <w:r w:rsidR="00853659" w:rsidRPr="00CE49D1">
        <w:rPr>
          <w:rFonts w:ascii="Arial" w:hAnsi="Arial" w:cs="Arial"/>
          <w:sz w:val="28"/>
          <w:szCs w:val="28"/>
        </w:rPr>
        <w:t>]</w:t>
      </w:r>
      <w:r w:rsidRPr="00CE49D1">
        <w:rPr>
          <w:rFonts w:ascii="Arial" w:hAnsi="Arial" w:cs="Arial"/>
          <w:sz w:val="28"/>
          <w:szCs w:val="28"/>
        </w:rPr>
        <w:t xml:space="preserve"> to the lawyers.</w:t>
      </w:r>
    </w:p>
    <w:p w14:paraId="3E196CA1" w14:textId="348437F1" w:rsidR="00FF0071" w:rsidRPr="00CE49D1" w:rsidRDefault="000667D9" w:rsidP="00DF37A4">
      <w:pPr>
        <w:spacing w:line="276" w:lineRule="auto"/>
        <w:jc w:val="both"/>
        <w:rPr>
          <w:rFonts w:ascii="Arial" w:hAnsi="Arial" w:cs="Arial"/>
          <w:sz w:val="28"/>
          <w:szCs w:val="28"/>
        </w:rPr>
      </w:pPr>
      <w:r w:rsidRPr="00CE49D1">
        <w:rPr>
          <w:rFonts w:ascii="Arial" w:hAnsi="Arial" w:cs="Arial"/>
          <w:sz w:val="28"/>
          <w:szCs w:val="28"/>
        </w:rPr>
        <w:t xml:space="preserve">The Note </w:t>
      </w:r>
      <w:r w:rsidR="00FF0071" w:rsidRPr="00CE49D1">
        <w:rPr>
          <w:rFonts w:ascii="Arial" w:hAnsi="Arial" w:cs="Arial"/>
          <w:sz w:val="28"/>
          <w:szCs w:val="28"/>
        </w:rPr>
        <w:t>reads as follows:</w:t>
      </w:r>
    </w:p>
    <w:p w14:paraId="7069356D" w14:textId="07F77853" w:rsidR="00FF0071" w:rsidRDefault="00FF0071" w:rsidP="00DF37A4">
      <w:pPr>
        <w:spacing w:line="276" w:lineRule="auto"/>
        <w:ind w:left="720"/>
        <w:jc w:val="both"/>
        <w:rPr>
          <w:rFonts w:ascii="Arial" w:hAnsi="Arial" w:cs="Arial"/>
          <w:sz w:val="28"/>
          <w:szCs w:val="28"/>
        </w:rPr>
      </w:pPr>
      <w:r w:rsidRPr="00CE49D1">
        <w:rPr>
          <w:rFonts w:ascii="Arial" w:hAnsi="Arial" w:cs="Arial"/>
          <w:sz w:val="28"/>
          <w:szCs w:val="28"/>
        </w:rPr>
        <w:t>(</w:t>
      </w:r>
      <w:r w:rsidRPr="00CE49D1">
        <w:rPr>
          <w:rFonts w:ascii="Arial" w:hAnsi="Arial" w:cs="Arial"/>
          <w:i/>
          <w:sz w:val="28"/>
          <w:szCs w:val="28"/>
        </w:rPr>
        <w:t>The Note is then read</w:t>
      </w:r>
      <w:r w:rsidR="00847A83" w:rsidRPr="00CE49D1">
        <w:rPr>
          <w:rFonts w:ascii="Arial" w:hAnsi="Arial" w:cs="Arial"/>
          <w:i/>
          <w:sz w:val="28"/>
          <w:szCs w:val="28"/>
        </w:rPr>
        <w:t xml:space="preserve"> aloud,</w:t>
      </w:r>
      <w:r w:rsidRPr="00CE49D1">
        <w:rPr>
          <w:rFonts w:ascii="Arial" w:hAnsi="Arial" w:cs="Arial"/>
          <w:i/>
          <w:sz w:val="28"/>
          <w:szCs w:val="28"/>
        </w:rPr>
        <w:t xml:space="preserve"> verbatim</w:t>
      </w:r>
      <w:r w:rsidR="00847A83" w:rsidRPr="00CE49D1">
        <w:rPr>
          <w:rFonts w:ascii="Arial" w:hAnsi="Arial" w:cs="Arial"/>
          <w:i/>
          <w:sz w:val="28"/>
          <w:szCs w:val="28"/>
        </w:rPr>
        <w:t>,</w:t>
      </w:r>
      <w:r w:rsidRPr="00CE49D1">
        <w:rPr>
          <w:rFonts w:ascii="Arial" w:hAnsi="Arial" w:cs="Arial"/>
          <w:i/>
          <w:sz w:val="28"/>
          <w:szCs w:val="28"/>
        </w:rPr>
        <w:t xml:space="preserve"> into the record in the presence of the defendant and the lawyers</w:t>
      </w:r>
      <w:r w:rsidRPr="00CE49D1">
        <w:rPr>
          <w:rFonts w:ascii="Arial" w:hAnsi="Arial" w:cs="Arial"/>
          <w:sz w:val="28"/>
          <w:szCs w:val="28"/>
        </w:rPr>
        <w:t>.)</w:t>
      </w:r>
    </w:p>
    <w:p w14:paraId="6629343D" w14:textId="3087AC5F" w:rsidR="00401E17" w:rsidRPr="00745FF4" w:rsidRDefault="00A352E7" w:rsidP="00DF37A4">
      <w:pPr>
        <w:spacing w:line="276" w:lineRule="auto"/>
        <w:jc w:val="both"/>
        <w:rPr>
          <w:rFonts w:ascii="Arial" w:hAnsi="Arial" w:cs="Arial"/>
          <w:b/>
          <w:i/>
          <w:sz w:val="28"/>
          <w:szCs w:val="28"/>
        </w:rPr>
      </w:pPr>
      <w:r w:rsidRPr="00745FF4">
        <w:rPr>
          <w:rFonts w:ascii="Arial" w:hAnsi="Arial" w:cs="Arial"/>
          <w:b/>
          <w:i/>
          <w:sz w:val="28"/>
          <w:szCs w:val="28"/>
        </w:rPr>
        <w:t xml:space="preserve">THE COURT </w:t>
      </w:r>
      <w:r w:rsidR="00F24039" w:rsidRPr="00745FF4">
        <w:rPr>
          <w:rFonts w:ascii="Arial" w:hAnsi="Arial" w:cs="Arial"/>
          <w:b/>
          <w:i/>
          <w:sz w:val="28"/>
          <w:szCs w:val="28"/>
        </w:rPr>
        <w:t xml:space="preserve">CONTINUES BY SELECTING </w:t>
      </w:r>
      <w:r w:rsidR="00FE0FBB" w:rsidRPr="00745FF4">
        <w:rPr>
          <w:rFonts w:ascii="Arial" w:hAnsi="Arial" w:cs="Arial"/>
          <w:b/>
          <w:i/>
          <w:sz w:val="28"/>
          <w:szCs w:val="28"/>
        </w:rPr>
        <w:t>ONE OF THE FOLLOWING</w:t>
      </w:r>
      <w:r w:rsidR="00F24039" w:rsidRPr="00745FF4">
        <w:rPr>
          <w:rFonts w:ascii="Arial" w:hAnsi="Arial" w:cs="Arial"/>
          <w:b/>
          <w:i/>
          <w:sz w:val="28"/>
          <w:szCs w:val="28"/>
        </w:rPr>
        <w:t xml:space="preserve"> AL</w:t>
      </w:r>
      <w:r w:rsidR="006D579D" w:rsidRPr="00745FF4">
        <w:rPr>
          <w:rFonts w:ascii="Arial" w:hAnsi="Arial" w:cs="Arial"/>
          <w:b/>
          <w:i/>
          <w:sz w:val="28"/>
          <w:szCs w:val="28"/>
        </w:rPr>
        <w:t>T</w:t>
      </w:r>
      <w:r w:rsidR="00F24039" w:rsidRPr="00745FF4">
        <w:rPr>
          <w:rFonts w:ascii="Arial" w:hAnsi="Arial" w:cs="Arial"/>
          <w:b/>
          <w:i/>
          <w:sz w:val="28"/>
          <w:szCs w:val="28"/>
        </w:rPr>
        <w:t>ERNATIVES</w:t>
      </w:r>
      <w:r w:rsidR="00FE0FBB" w:rsidRPr="00745FF4">
        <w:rPr>
          <w:rFonts w:ascii="Arial" w:hAnsi="Arial" w:cs="Arial"/>
          <w:b/>
          <w:i/>
          <w:sz w:val="28"/>
          <w:szCs w:val="28"/>
        </w:rPr>
        <w:t>:</w:t>
      </w:r>
      <w:r w:rsidR="000667D9" w:rsidRPr="00745FF4">
        <w:rPr>
          <w:rFonts w:ascii="Arial" w:hAnsi="Arial" w:cs="Arial"/>
          <w:b/>
          <w:i/>
          <w:sz w:val="28"/>
          <w:szCs w:val="28"/>
        </w:rPr>
        <w:t xml:space="preserve"> </w:t>
      </w:r>
    </w:p>
    <w:p w14:paraId="1B187074" w14:textId="1FADB04B" w:rsidR="00FB1E4D" w:rsidRPr="00745FF4" w:rsidRDefault="00FB1E4D" w:rsidP="00DF37A4">
      <w:pPr>
        <w:pStyle w:val="ListParagraph"/>
        <w:numPr>
          <w:ilvl w:val="0"/>
          <w:numId w:val="1"/>
        </w:numPr>
        <w:spacing w:line="276" w:lineRule="auto"/>
        <w:jc w:val="both"/>
        <w:rPr>
          <w:rFonts w:ascii="Arial" w:hAnsi="Arial" w:cs="Arial"/>
          <w:i/>
          <w:sz w:val="28"/>
          <w:szCs w:val="28"/>
        </w:rPr>
      </w:pPr>
      <w:r w:rsidRPr="00745FF4">
        <w:rPr>
          <w:rFonts w:ascii="Arial" w:hAnsi="Arial" w:cs="Arial"/>
          <w:sz w:val="28"/>
          <w:szCs w:val="28"/>
        </w:rPr>
        <w:t xml:space="preserve">If the Note is for an </w:t>
      </w:r>
      <w:r w:rsidR="009A081C" w:rsidRPr="00745FF4">
        <w:rPr>
          <w:rFonts w:ascii="Arial" w:hAnsi="Arial" w:cs="Arial"/>
          <w:sz w:val="28"/>
          <w:szCs w:val="28"/>
        </w:rPr>
        <w:t>exhibit</w:t>
      </w:r>
      <w:r w:rsidRPr="00745FF4">
        <w:rPr>
          <w:rFonts w:ascii="Arial" w:hAnsi="Arial" w:cs="Arial"/>
          <w:sz w:val="28"/>
          <w:szCs w:val="28"/>
        </w:rPr>
        <w:t xml:space="preserve"> which was sent to the jury in the absence of the parties but pursuant to the consent of the parties</w:t>
      </w:r>
      <w:r w:rsidR="00B429CA" w:rsidRPr="00745FF4">
        <w:rPr>
          <w:rFonts w:ascii="Arial" w:hAnsi="Arial" w:cs="Arial"/>
          <w:sz w:val="28"/>
          <w:szCs w:val="28"/>
        </w:rPr>
        <w:t xml:space="preserve"> </w:t>
      </w:r>
      <w:r w:rsidRPr="00745FF4">
        <w:rPr>
          <w:rFonts w:ascii="Arial" w:hAnsi="Arial" w:cs="Arial"/>
          <w:sz w:val="28"/>
          <w:szCs w:val="28"/>
        </w:rPr>
        <w:t>placed on the record after the jury retired to deliberate</w:t>
      </w:r>
      <w:r w:rsidR="00951721" w:rsidRPr="00745FF4">
        <w:rPr>
          <w:rFonts w:ascii="Arial" w:hAnsi="Arial" w:cs="Arial"/>
          <w:sz w:val="28"/>
          <w:szCs w:val="28"/>
        </w:rPr>
        <w:t xml:space="preserve"> [see note three]</w:t>
      </w:r>
      <w:r w:rsidRPr="00745FF4">
        <w:rPr>
          <w:rFonts w:ascii="Arial" w:hAnsi="Arial" w:cs="Arial"/>
          <w:sz w:val="28"/>
          <w:szCs w:val="28"/>
        </w:rPr>
        <w:t>, the court should so state on the record.</w:t>
      </w:r>
    </w:p>
    <w:p w14:paraId="07D32A35" w14:textId="27A06BBE" w:rsidR="00CD212B" w:rsidRPr="00FB1E4D" w:rsidRDefault="00CD212B" w:rsidP="00DF37A4">
      <w:pPr>
        <w:pStyle w:val="ListParagraph"/>
        <w:spacing w:line="276" w:lineRule="auto"/>
        <w:jc w:val="both"/>
        <w:rPr>
          <w:rFonts w:ascii="Arial" w:hAnsi="Arial" w:cs="Arial"/>
          <w:b/>
          <w:i/>
          <w:sz w:val="28"/>
          <w:szCs w:val="28"/>
        </w:rPr>
      </w:pPr>
    </w:p>
    <w:p w14:paraId="352298C4" w14:textId="1CA75D37" w:rsidR="004607FA" w:rsidRPr="00CE49D1" w:rsidRDefault="00FB1E4D" w:rsidP="00DF37A4">
      <w:pPr>
        <w:pStyle w:val="ListParagraph"/>
        <w:numPr>
          <w:ilvl w:val="0"/>
          <w:numId w:val="1"/>
        </w:numPr>
        <w:spacing w:line="276" w:lineRule="auto"/>
        <w:jc w:val="both"/>
        <w:rPr>
          <w:rFonts w:ascii="Arial" w:hAnsi="Arial" w:cs="Arial"/>
          <w:sz w:val="28"/>
          <w:szCs w:val="28"/>
        </w:rPr>
      </w:pPr>
      <w:r>
        <w:rPr>
          <w:rFonts w:ascii="Arial" w:hAnsi="Arial" w:cs="Arial"/>
          <w:sz w:val="28"/>
          <w:szCs w:val="28"/>
        </w:rPr>
        <w:t xml:space="preserve"> </w:t>
      </w:r>
      <w:r w:rsidR="004607FA" w:rsidRPr="00CE49D1">
        <w:rPr>
          <w:rFonts w:ascii="Arial" w:hAnsi="Arial" w:cs="Arial"/>
          <w:sz w:val="28"/>
          <w:szCs w:val="28"/>
        </w:rPr>
        <w:t>I have already consulted with the lawyers</w:t>
      </w:r>
      <w:r w:rsidR="00F56734" w:rsidRPr="00CE49D1">
        <w:rPr>
          <w:rFonts w:ascii="Arial" w:hAnsi="Arial" w:cs="Arial"/>
          <w:b/>
          <w:sz w:val="28"/>
          <w:szCs w:val="28"/>
          <w:vertAlign w:val="superscript"/>
        </w:rPr>
        <w:endnoteReference w:id="5"/>
      </w:r>
      <w:r w:rsidR="004607FA" w:rsidRPr="00CE49D1">
        <w:rPr>
          <w:rFonts w:ascii="Arial" w:hAnsi="Arial" w:cs="Arial"/>
          <w:sz w:val="28"/>
          <w:szCs w:val="28"/>
        </w:rPr>
        <w:t xml:space="preserve"> and we have agreed </w:t>
      </w:r>
      <w:r w:rsidR="001A1B8A" w:rsidRPr="00CE49D1">
        <w:rPr>
          <w:rFonts w:ascii="Arial" w:hAnsi="Arial" w:cs="Arial"/>
          <w:sz w:val="28"/>
          <w:szCs w:val="28"/>
        </w:rPr>
        <w:t xml:space="preserve">that </w:t>
      </w:r>
      <w:r w:rsidR="004607FA" w:rsidRPr="00CE49D1">
        <w:rPr>
          <w:rFonts w:ascii="Arial" w:hAnsi="Arial" w:cs="Arial"/>
          <w:sz w:val="28"/>
          <w:szCs w:val="28"/>
        </w:rPr>
        <w:t>(</w:t>
      </w:r>
      <w:r w:rsidR="004607FA" w:rsidRPr="00CE49D1">
        <w:rPr>
          <w:rFonts w:ascii="Arial" w:hAnsi="Arial" w:cs="Arial"/>
          <w:i/>
          <w:sz w:val="28"/>
          <w:szCs w:val="28"/>
          <w:u w:val="single"/>
        </w:rPr>
        <w:t>specify</w:t>
      </w:r>
      <w:r w:rsidR="004607FA" w:rsidRPr="00CE49D1">
        <w:rPr>
          <w:rFonts w:ascii="Arial" w:hAnsi="Arial" w:cs="Arial"/>
          <w:i/>
          <w:sz w:val="28"/>
          <w:szCs w:val="28"/>
        </w:rPr>
        <w:t xml:space="preserve"> – e.g.</w:t>
      </w:r>
      <w:r w:rsidR="001A1B8A" w:rsidRPr="00CE49D1">
        <w:rPr>
          <w:rFonts w:ascii="Arial" w:hAnsi="Arial" w:cs="Arial"/>
          <w:i/>
          <w:sz w:val="28"/>
          <w:szCs w:val="28"/>
        </w:rPr>
        <w:t xml:space="preserve"> (a) the reporter will isolate the requested portion of the transcript and then read it to the jury; (b) I should respond to the Note by </w:t>
      </w:r>
      <w:r w:rsidR="004607FA" w:rsidRPr="00CE49D1">
        <w:rPr>
          <w:rFonts w:ascii="Arial" w:hAnsi="Arial" w:cs="Arial"/>
          <w:i/>
          <w:sz w:val="28"/>
          <w:szCs w:val="28"/>
        </w:rPr>
        <w:t>re-reading my final instruction on “justification.”)</w:t>
      </w:r>
    </w:p>
    <w:p w14:paraId="707586F4" w14:textId="77777777" w:rsidR="00E86225" w:rsidRPr="00CE49D1" w:rsidRDefault="00E86225" w:rsidP="00DF37A4">
      <w:pPr>
        <w:pStyle w:val="ListParagraph"/>
        <w:spacing w:line="276" w:lineRule="auto"/>
        <w:jc w:val="both"/>
        <w:rPr>
          <w:rFonts w:ascii="Arial" w:hAnsi="Arial" w:cs="Arial"/>
          <w:sz w:val="28"/>
          <w:szCs w:val="28"/>
        </w:rPr>
      </w:pPr>
    </w:p>
    <w:p w14:paraId="02D329CA" w14:textId="640AEAB5" w:rsidR="00CE5C60" w:rsidRPr="00CE49D1" w:rsidRDefault="004607FA" w:rsidP="00DF37A4">
      <w:pPr>
        <w:pStyle w:val="ListParagraph"/>
        <w:numPr>
          <w:ilvl w:val="0"/>
          <w:numId w:val="1"/>
        </w:numPr>
        <w:spacing w:line="276" w:lineRule="auto"/>
        <w:jc w:val="both"/>
        <w:rPr>
          <w:rFonts w:ascii="Arial" w:hAnsi="Arial" w:cs="Arial"/>
          <w:sz w:val="28"/>
          <w:szCs w:val="28"/>
        </w:rPr>
      </w:pPr>
      <w:r w:rsidRPr="00CE49D1">
        <w:rPr>
          <w:rFonts w:ascii="Arial" w:hAnsi="Arial" w:cs="Arial"/>
          <w:sz w:val="28"/>
          <w:szCs w:val="28"/>
        </w:rPr>
        <w:t xml:space="preserve"> </w:t>
      </w:r>
      <w:r w:rsidR="000667D9" w:rsidRPr="00CE49D1">
        <w:rPr>
          <w:rFonts w:ascii="Arial" w:hAnsi="Arial" w:cs="Arial"/>
          <w:sz w:val="28"/>
          <w:szCs w:val="28"/>
        </w:rPr>
        <w:t>I intend to respond to the Note as follows: (</w:t>
      </w:r>
      <w:r w:rsidR="000667D9" w:rsidRPr="00CE49D1">
        <w:rPr>
          <w:rFonts w:ascii="Arial" w:hAnsi="Arial" w:cs="Arial"/>
          <w:i/>
          <w:sz w:val="28"/>
          <w:szCs w:val="28"/>
          <w:u w:val="single"/>
        </w:rPr>
        <w:t>specify</w:t>
      </w:r>
      <w:r w:rsidR="000667D9" w:rsidRPr="00CE49D1">
        <w:rPr>
          <w:rFonts w:ascii="Arial" w:hAnsi="Arial" w:cs="Arial"/>
          <w:sz w:val="28"/>
          <w:szCs w:val="28"/>
        </w:rPr>
        <w:t xml:space="preserve">). </w:t>
      </w:r>
      <w:r w:rsidR="007C4047" w:rsidRPr="00CE49D1">
        <w:rPr>
          <w:rFonts w:ascii="Arial" w:hAnsi="Arial" w:cs="Arial"/>
          <w:sz w:val="28"/>
          <w:szCs w:val="28"/>
        </w:rPr>
        <w:t xml:space="preserve">         </w:t>
      </w:r>
    </w:p>
    <w:p w14:paraId="1C9830A2" w14:textId="1B9A203B" w:rsidR="000667D9" w:rsidRPr="00CE49D1" w:rsidRDefault="001A1B8A" w:rsidP="00DF37A4">
      <w:pPr>
        <w:pStyle w:val="ListParagraph"/>
        <w:spacing w:line="276" w:lineRule="auto"/>
        <w:jc w:val="both"/>
        <w:rPr>
          <w:rFonts w:ascii="Arial" w:hAnsi="Arial" w:cs="Arial"/>
          <w:sz w:val="28"/>
          <w:szCs w:val="28"/>
        </w:rPr>
      </w:pPr>
      <w:r w:rsidRPr="00CE49D1">
        <w:rPr>
          <w:rFonts w:ascii="Arial" w:hAnsi="Arial" w:cs="Arial"/>
          <w:i/>
          <w:sz w:val="28"/>
          <w:szCs w:val="28"/>
        </w:rPr>
        <w:t>TO THE LAWYERS</w:t>
      </w:r>
      <w:r w:rsidRPr="00CE49D1">
        <w:rPr>
          <w:rFonts w:ascii="Arial" w:hAnsi="Arial" w:cs="Arial"/>
          <w:sz w:val="28"/>
          <w:szCs w:val="28"/>
        </w:rPr>
        <w:t xml:space="preserve">: </w:t>
      </w:r>
      <w:r w:rsidR="000667D9" w:rsidRPr="00CE49D1">
        <w:rPr>
          <w:rFonts w:ascii="Arial" w:hAnsi="Arial" w:cs="Arial"/>
          <w:sz w:val="28"/>
          <w:szCs w:val="28"/>
        </w:rPr>
        <w:t>Is that acceptable?</w:t>
      </w:r>
    </w:p>
    <w:p w14:paraId="07C1DD41" w14:textId="42BC15F9" w:rsidR="004607FA" w:rsidRPr="00CE49D1" w:rsidRDefault="004607FA" w:rsidP="00DF37A4">
      <w:pPr>
        <w:pStyle w:val="ListParagraph"/>
        <w:spacing w:line="276" w:lineRule="auto"/>
        <w:jc w:val="both"/>
        <w:rPr>
          <w:rFonts w:ascii="Arial" w:hAnsi="Arial" w:cs="Arial"/>
          <w:sz w:val="28"/>
          <w:szCs w:val="28"/>
        </w:rPr>
      </w:pPr>
      <w:r w:rsidRPr="00CE49D1">
        <w:rPr>
          <w:rFonts w:ascii="Arial" w:hAnsi="Arial" w:cs="Arial"/>
          <w:sz w:val="28"/>
          <w:szCs w:val="28"/>
        </w:rPr>
        <w:lastRenderedPageBreak/>
        <w:t>(</w:t>
      </w:r>
      <w:r w:rsidRPr="00CE49D1">
        <w:rPr>
          <w:rFonts w:ascii="Arial" w:hAnsi="Arial" w:cs="Arial"/>
          <w:i/>
          <w:sz w:val="28"/>
          <w:szCs w:val="28"/>
        </w:rPr>
        <w:t>Court</w:t>
      </w:r>
      <w:r w:rsidR="00E86225" w:rsidRPr="00CE49D1">
        <w:rPr>
          <w:rFonts w:ascii="Arial" w:hAnsi="Arial" w:cs="Arial"/>
          <w:i/>
          <w:sz w:val="28"/>
          <w:szCs w:val="28"/>
        </w:rPr>
        <w:t xml:space="preserve"> will then hear from the defense and prosecution</w:t>
      </w:r>
      <w:r w:rsidR="00E86225" w:rsidRPr="00CE49D1">
        <w:rPr>
          <w:rFonts w:ascii="Arial" w:hAnsi="Arial" w:cs="Arial"/>
          <w:sz w:val="28"/>
          <w:szCs w:val="28"/>
        </w:rPr>
        <w:t>.)</w:t>
      </w:r>
    </w:p>
    <w:p w14:paraId="44A3C72D" w14:textId="77777777" w:rsidR="00E86225" w:rsidRPr="00CE49D1" w:rsidRDefault="00E86225" w:rsidP="00DF37A4">
      <w:pPr>
        <w:pStyle w:val="ListParagraph"/>
        <w:spacing w:line="276" w:lineRule="auto"/>
        <w:jc w:val="both"/>
        <w:rPr>
          <w:rFonts w:ascii="Arial" w:hAnsi="Arial" w:cs="Arial"/>
          <w:sz w:val="28"/>
          <w:szCs w:val="28"/>
        </w:rPr>
      </w:pPr>
    </w:p>
    <w:p w14:paraId="3465F908" w14:textId="7FD18F34" w:rsidR="000667D9" w:rsidRPr="00CE49D1" w:rsidRDefault="00FB1E4D" w:rsidP="00DF37A4">
      <w:pPr>
        <w:pStyle w:val="ListParagraph"/>
        <w:numPr>
          <w:ilvl w:val="0"/>
          <w:numId w:val="1"/>
        </w:numPr>
        <w:spacing w:line="276" w:lineRule="auto"/>
        <w:jc w:val="both"/>
        <w:rPr>
          <w:rFonts w:ascii="Arial" w:hAnsi="Arial" w:cs="Arial"/>
          <w:sz w:val="28"/>
          <w:szCs w:val="28"/>
        </w:rPr>
      </w:pPr>
      <w:r>
        <w:rPr>
          <w:rFonts w:ascii="Arial" w:hAnsi="Arial" w:cs="Arial"/>
          <w:sz w:val="28"/>
          <w:szCs w:val="28"/>
        </w:rPr>
        <w:t xml:space="preserve"> </w:t>
      </w:r>
      <w:r w:rsidR="000667D9" w:rsidRPr="00CE49D1">
        <w:rPr>
          <w:rFonts w:ascii="Arial" w:hAnsi="Arial" w:cs="Arial"/>
          <w:sz w:val="28"/>
          <w:szCs w:val="28"/>
        </w:rPr>
        <w:t>Do the lawyers wish to be heard on how to answer the Note?</w:t>
      </w:r>
    </w:p>
    <w:p w14:paraId="470F89FD" w14:textId="77777777" w:rsidR="000667D9" w:rsidRPr="00CE49D1" w:rsidRDefault="000667D9" w:rsidP="00DF37A4">
      <w:pPr>
        <w:spacing w:line="276" w:lineRule="auto"/>
        <w:jc w:val="both"/>
        <w:rPr>
          <w:rFonts w:ascii="Arial" w:hAnsi="Arial" w:cs="Arial"/>
          <w:sz w:val="28"/>
          <w:szCs w:val="28"/>
        </w:rPr>
      </w:pPr>
      <w:r w:rsidRPr="00CE49D1">
        <w:rPr>
          <w:rFonts w:ascii="Arial" w:hAnsi="Arial" w:cs="Arial"/>
          <w:sz w:val="28"/>
          <w:szCs w:val="28"/>
        </w:rPr>
        <w:tab/>
        <w:t>(</w:t>
      </w:r>
      <w:r w:rsidRPr="00CE49D1">
        <w:rPr>
          <w:rFonts w:ascii="Arial" w:hAnsi="Arial" w:cs="Arial"/>
          <w:i/>
          <w:sz w:val="28"/>
          <w:szCs w:val="28"/>
        </w:rPr>
        <w:t>Court will then hear from the defense and prosecution</w:t>
      </w:r>
      <w:r w:rsidRPr="00CE49D1">
        <w:rPr>
          <w:rFonts w:ascii="Arial" w:hAnsi="Arial" w:cs="Arial"/>
          <w:sz w:val="28"/>
          <w:szCs w:val="28"/>
        </w:rPr>
        <w:t>.)</w:t>
      </w:r>
    </w:p>
    <w:p w14:paraId="3A2D7FD5" w14:textId="7933102F" w:rsidR="000667D9" w:rsidRPr="00CE49D1" w:rsidRDefault="00E86225" w:rsidP="00DF37A4">
      <w:pPr>
        <w:spacing w:line="276" w:lineRule="auto"/>
        <w:jc w:val="both"/>
        <w:rPr>
          <w:rFonts w:ascii="Arial" w:hAnsi="Arial" w:cs="Arial"/>
          <w:sz w:val="28"/>
          <w:szCs w:val="28"/>
        </w:rPr>
      </w:pPr>
      <w:r w:rsidRPr="00CE49D1">
        <w:rPr>
          <w:rFonts w:ascii="Arial" w:hAnsi="Arial" w:cs="Arial"/>
          <w:sz w:val="28"/>
          <w:szCs w:val="28"/>
        </w:rPr>
        <w:tab/>
      </w:r>
      <w:r w:rsidR="000667D9" w:rsidRPr="00CE49D1">
        <w:rPr>
          <w:rFonts w:ascii="Arial" w:hAnsi="Arial" w:cs="Arial"/>
          <w:sz w:val="28"/>
          <w:szCs w:val="28"/>
        </w:rPr>
        <w:t xml:space="preserve">I have decided to respond as follows: </w:t>
      </w:r>
      <w:r w:rsidR="002A45C5" w:rsidRPr="00CE49D1">
        <w:rPr>
          <w:rFonts w:ascii="Arial" w:hAnsi="Arial" w:cs="Arial"/>
          <w:sz w:val="28"/>
          <w:szCs w:val="28"/>
        </w:rPr>
        <w:t>(</w:t>
      </w:r>
      <w:r w:rsidR="002A45C5" w:rsidRPr="00CE49D1">
        <w:rPr>
          <w:rFonts w:ascii="Arial" w:hAnsi="Arial" w:cs="Arial"/>
          <w:i/>
          <w:sz w:val="28"/>
          <w:szCs w:val="28"/>
          <w:u w:val="single"/>
        </w:rPr>
        <w:t>specify</w:t>
      </w:r>
      <w:r w:rsidR="002A45C5" w:rsidRPr="00CE49D1">
        <w:rPr>
          <w:rFonts w:ascii="Arial" w:hAnsi="Arial" w:cs="Arial"/>
          <w:sz w:val="28"/>
          <w:szCs w:val="28"/>
        </w:rPr>
        <w:t>).</w:t>
      </w:r>
    </w:p>
    <w:p w14:paraId="7E8DEECF" w14:textId="681F0A59" w:rsidR="002A45C5" w:rsidRPr="00CE49D1" w:rsidRDefault="002A45C5" w:rsidP="00DF37A4">
      <w:pPr>
        <w:spacing w:line="276" w:lineRule="auto"/>
        <w:ind w:left="720"/>
        <w:jc w:val="both"/>
        <w:rPr>
          <w:rFonts w:ascii="Arial" w:hAnsi="Arial" w:cs="Arial"/>
          <w:sz w:val="28"/>
          <w:szCs w:val="28"/>
        </w:rPr>
      </w:pPr>
      <w:r w:rsidRPr="00CE49D1">
        <w:rPr>
          <w:rFonts w:ascii="Arial" w:hAnsi="Arial" w:cs="Arial"/>
          <w:sz w:val="28"/>
          <w:szCs w:val="28"/>
        </w:rPr>
        <w:t>(</w:t>
      </w:r>
      <w:r w:rsidRPr="00CE49D1">
        <w:rPr>
          <w:rFonts w:ascii="Arial" w:hAnsi="Arial" w:cs="Arial"/>
          <w:i/>
          <w:sz w:val="28"/>
          <w:szCs w:val="28"/>
        </w:rPr>
        <w:t xml:space="preserve">Depending on the </w:t>
      </w:r>
      <w:r w:rsidR="00E86225" w:rsidRPr="00CE49D1">
        <w:rPr>
          <w:rFonts w:ascii="Arial" w:hAnsi="Arial" w:cs="Arial"/>
          <w:i/>
          <w:sz w:val="28"/>
          <w:szCs w:val="28"/>
        </w:rPr>
        <w:t xml:space="preserve">prior interchange with the lawyers and the nature of the </w:t>
      </w:r>
      <w:r w:rsidRPr="00CE49D1">
        <w:rPr>
          <w:rFonts w:ascii="Arial" w:hAnsi="Arial" w:cs="Arial"/>
          <w:i/>
          <w:sz w:val="28"/>
          <w:szCs w:val="28"/>
        </w:rPr>
        <w:t>court’s</w:t>
      </w:r>
      <w:r w:rsidR="00E86225" w:rsidRPr="00CE49D1">
        <w:rPr>
          <w:rFonts w:ascii="Arial" w:hAnsi="Arial" w:cs="Arial"/>
          <w:i/>
          <w:sz w:val="28"/>
          <w:szCs w:val="28"/>
        </w:rPr>
        <w:t xml:space="preserve"> </w:t>
      </w:r>
      <w:r w:rsidR="00847A83" w:rsidRPr="00CE49D1">
        <w:rPr>
          <w:rFonts w:ascii="Arial" w:hAnsi="Arial" w:cs="Arial"/>
          <w:i/>
          <w:sz w:val="28"/>
          <w:szCs w:val="28"/>
        </w:rPr>
        <w:t>response</w:t>
      </w:r>
      <w:r w:rsidRPr="00CE49D1">
        <w:rPr>
          <w:rFonts w:ascii="Arial" w:hAnsi="Arial" w:cs="Arial"/>
          <w:i/>
          <w:sz w:val="28"/>
          <w:szCs w:val="28"/>
        </w:rPr>
        <w:t xml:space="preserve">, </w:t>
      </w:r>
      <w:r w:rsidR="00E86225" w:rsidRPr="00CE49D1">
        <w:rPr>
          <w:rFonts w:ascii="Arial" w:hAnsi="Arial" w:cs="Arial"/>
          <w:i/>
          <w:sz w:val="28"/>
          <w:szCs w:val="28"/>
        </w:rPr>
        <w:t>it may be appropriate to permit a party to make a further comment</w:t>
      </w:r>
      <w:r w:rsidRPr="00CE49D1">
        <w:rPr>
          <w:rFonts w:ascii="Arial" w:hAnsi="Arial" w:cs="Arial"/>
          <w:sz w:val="28"/>
          <w:szCs w:val="28"/>
        </w:rPr>
        <w:t>.)</w:t>
      </w:r>
    </w:p>
    <w:p w14:paraId="3E478DC4" w14:textId="77777777" w:rsidR="00847A83" w:rsidRPr="00CE49D1" w:rsidRDefault="00847A83" w:rsidP="00DF37A4">
      <w:pPr>
        <w:spacing w:line="276" w:lineRule="auto"/>
        <w:ind w:left="720"/>
        <w:jc w:val="both"/>
        <w:rPr>
          <w:rFonts w:ascii="Arial" w:hAnsi="Arial" w:cs="Arial"/>
          <w:sz w:val="28"/>
          <w:szCs w:val="28"/>
        </w:rPr>
      </w:pPr>
    </w:p>
    <w:p w14:paraId="260F72A3" w14:textId="77777777" w:rsidR="002A45C5" w:rsidRPr="00CE49D1" w:rsidRDefault="002A45C5" w:rsidP="00DF37A4">
      <w:pPr>
        <w:spacing w:line="276" w:lineRule="auto"/>
        <w:jc w:val="both"/>
        <w:rPr>
          <w:rFonts w:ascii="Arial" w:hAnsi="Arial" w:cs="Arial"/>
          <w:b/>
          <w:sz w:val="28"/>
          <w:szCs w:val="28"/>
        </w:rPr>
      </w:pPr>
      <w:r w:rsidRPr="00CE49D1">
        <w:rPr>
          <w:rFonts w:ascii="Arial" w:hAnsi="Arial" w:cs="Arial"/>
          <w:b/>
          <w:sz w:val="28"/>
          <w:szCs w:val="28"/>
        </w:rPr>
        <w:t xml:space="preserve">THE COURT: </w:t>
      </w:r>
    </w:p>
    <w:p w14:paraId="39AD9F5F" w14:textId="50FE5B44" w:rsidR="002A45C5" w:rsidRPr="00CE49D1" w:rsidRDefault="002A45C5" w:rsidP="00DF37A4">
      <w:pPr>
        <w:spacing w:line="276" w:lineRule="auto"/>
        <w:jc w:val="both"/>
        <w:rPr>
          <w:rFonts w:ascii="Arial" w:hAnsi="Arial" w:cs="Arial"/>
          <w:sz w:val="28"/>
          <w:szCs w:val="28"/>
        </w:rPr>
      </w:pPr>
      <w:r w:rsidRPr="00CE49D1">
        <w:rPr>
          <w:rFonts w:ascii="Arial" w:hAnsi="Arial" w:cs="Arial"/>
          <w:sz w:val="28"/>
          <w:szCs w:val="28"/>
        </w:rPr>
        <w:t>Jury in please.</w:t>
      </w:r>
    </w:p>
    <w:p w14:paraId="533119A4" w14:textId="77777777" w:rsidR="0060654D" w:rsidRDefault="0060654D" w:rsidP="00DF37A4">
      <w:pPr>
        <w:spacing w:line="276" w:lineRule="auto"/>
        <w:jc w:val="both"/>
        <w:rPr>
          <w:rFonts w:ascii="Arial" w:hAnsi="Arial" w:cs="Arial"/>
          <w:b/>
          <w:sz w:val="28"/>
          <w:szCs w:val="28"/>
        </w:rPr>
      </w:pPr>
    </w:p>
    <w:p w14:paraId="54C7D647" w14:textId="16FF1764" w:rsidR="002A45C5" w:rsidRPr="00CE49D1" w:rsidRDefault="002A45C5" w:rsidP="00DF37A4">
      <w:pPr>
        <w:spacing w:line="276" w:lineRule="auto"/>
        <w:jc w:val="both"/>
        <w:rPr>
          <w:rFonts w:ascii="Arial" w:hAnsi="Arial" w:cs="Arial"/>
          <w:b/>
          <w:sz w:val="28"/>
          <w:szCs w:val="28"/>
        </w:rPr>
      </w:pPr>
      <w:r w:rsidRPr="00CE49D1">
        <w:rPr>
          <w:rFonts w:ascii="Arial" w:hAnsi="Arial" w:cs="Arial"/>
          <w:b/>
          <w:sz w:val="28"/>
          <w:szCs w:val="28"/>
        </w:rPr>
        <w:t>THE COURT</w:t>
      </w:r>
      <w:r w:rsidR="00F24039">
        <w:rPr>
          <w:rFonts w:ascii="Arial" w:hAnsi="Arial" w:cs="Arial"/>
          <w:b/>
          <w:sz w:val="28"/>
          <w:szCs w:val="28"/>
        </w:rPr>
        <w:t xml:space="preserve"> </w:t>
      </w:r>
      <w:r w:rsidRPr="00CE49D1">
        <w:rPr>
          <w:rFonts w:ascii="Arial" w:hAnsi="Arial" w:cs="Arial"/>
          <w:b/>
          <w:sz w:val="28"/>
          <w:szCs w:val="28"/>
        </w:rPr>
        <w:t>TO THE JURY:</w:t>
      </w:r>
    </w:p>
    <w:p w14:paraId="0BB189F6" w14:textId="7F9B3786" w:rsidR="001E4737" w:rsidRPr="00745FF4" w:rsidRDefault="008F7B1B" w:rsidP="00DF37A4">
      <w:pPr>
        <w:spacing w:line="276" w:lineRule="auto"/>
        <w:jc w:val="both"/>
        <w:rPr>
          <w:rFonts w:ascii="Arial" w:hAnsi="Arial" w:cs="Arial"/>
          <w:iCs/>
          <w:sz w:val="28"/>
          <w:szCs w:val="28"/>
        </w:rPr>
      </w:pPr>
      <w:r w:rsidRPr="00745FF4">
        <w:rPr>
          <w:rFonts w:ascii="Arial" w:hAnsi="Arial" w:cs="Arial"/>
          <w:iCs/>
          <w:sz w:val="28"/>
          <w:szCs w:val="28"/>
        </w:rPr>
        <w:t>Members of the jury, I have received your note</w:t>
      </w:r>
      <w:r w:rsidR="001E4737" w:rsidRPr="00745FF4">
        <w:rPr>
          <w:rFonts w:ascii="Arial" w:hAnsi="Arial" w:cs="Arial"/>
          <w:iCs/>
          <w:sz w:val="28"/>
          <w:szCs w:val="28"/>
        </w:rPr>
        <w:t xml:space="preserve"> [which reads as follows:]</w:t>
      </w:r>
    </w:p>
    <w:p w14:paraId="63C6C376" w14:textId="7E02927D" w:rsidR="00EA3C49" w:rsidRPr="00745FF4" w:rsidRDefault="00E1007A" w:rsidP="00DF37A4">
      <w:pPr>
        <w:spacing w:line="276" w:lineRule="auto"/>
        <w:jc w:val="both"/>
        <w:rPr>
          <w:rFonts w:ascii="Arial" w:hAnsi="Arial" w:cs="Arial"/>
          <w:iCs/>
          <w:sz w:val="28"/>
          <w:szCs w:val="28"/>
        </w:rPr>
      </w:pPr>
      <w:r w:rsidRPr="00745FF4">
        <w:rPr>
          <w:rFonts w:ascii="Arial" w:hAnsi="Arial" w:cs="Arial"/>
          <w:iCs/>
          <w:sz w:val="28"/>
          <w:szCs w:val="28"/>
        </w:rPr>
        <w:t xml:space="preserve"> </w:t>
      </w:r>
      <w:r w:rsidR="00EA3C49" w:rsidRPr="00745FF4">
        <w:rPr>
          <w:rFonts w:ascii="Arial" w:hAnsi="Arial" w:cs="Arial"/>
          <w:i/>
          <w:iCs/>
          <w:sz w:val="28"/>
          <w:szCs w:val="28"/>
        </w:rPr>
        <w:t>[I</w:t>
      </w:r>
      <w:r w:rsidR="008F7B1B" w:rsidRPr="00745FF4">
        <w:rPr>
          <w:rFonts w:ascii="Arial" w:hAnsi="Arial" w:cs="Arial"/>
          <w:i/>
          <w:iCs/>
          <w:sz w:val="28"/>
          <w:szCs w:val="28"/>
        </w:rPr>
        <w:t>f</w:t>
      </w:r>
      <w:r w:rsidRPr="00745FF4">
        <w:rPr>
          <w:rFonts w:ascii="Arial" w:hAnsi="Arial" w:cs="Arial"/>
          <w:i/>
          <w:iCs/>
          <w:sz w:val="28"/>
          <w:szCs w:val="28"/>
        </w:rPr>
        <w:t xml:space="preserve"> it is the </w:t>
      </w:r>
      <w:r w:rsidR="008F7B1B" w:rsidRPr="00745FF4">
        <w:rPr>
          <w:rFonts w:ascii="Arial" w:hAnsi="Arial" w:cs="Arial"/>
          <w:i/>
          <w:iCs/>
          <w:sz w:val="28"/>
          <w:szCs w:val="28"/>
        </w:rPr>
        <w:t xml:space="preserve"> first note</w:t>
      </w:r>
      <w:r w:rsidRPr="00745FF4">
        <w:rPr>
          <w:rFonts w:ascii="Arial" w:hAnsi="Arial" w:cs="Arial"/>
          <w:i/>
          <w:iCs/>
          <w:sz w:val="28"/>
          <w:szCs w:val="28"/>
        </w:rPr>
        <w:t xml:space="preserve">, </w:t>
      </w:r>
      <w:r w:rsidR="002106DB" w:rsidRPr="00745FF4">
        <w:rPr>
          <w:rFonts w:ascii="Arial" w:hAnsi="Arial" w:cs="Arial"/>
          <w:i/>
          <w:iCs/>
          <w:sz w:val="28"/>
          <w:szCs w:val="28"/>
        </w:rPr>
        <w:t xml:space="preserve">the Court may </w:t>
      </w:r>
      <w:r w:rsidR="00487DDC" w:rsidRPr="00745FF4">
        <w:rPr>
          <w:rFonts w:ascii="Arial" w:hAnsi="Arial" w:cs="Arial"/>
          <w:i/>
          <w:iCs/>
          <w:sz w:val="28"/>
          <w:szCs w:val="28"/>
        </w:rPr>
        <w:t>in lieu of bracketed words</w:t>
      </w:r>
      <w:r w:rsidR="006C7760" w:rsidRPr="00745FF4">
        <w:rPr>
          <w:rFonts w:ascii="Arial" w:hAnsi="Arial" w:cs="Arial"/>
          <w:i/>
          <w:iCs/>
          <w:sz w:val="28"/>
          <w:szCs w:val="28"/>
        </w:rPr>
        <w:t xml:space="preserve"> </w:t>
      </w:r>
      <w:r w:rsidRPr="00745FF4">
        <w:rPr>
          <w:rFonts w:ascii="Arial" w:hAnsi="Arial" w:cs="Arial"/>
          <w:i/>
          <w:iCs/>
          <w:sz w:val="28"/>
          <w:szCs w:val="28"/>
        </w:rPr>
        <w:t>add</w:t>
      </w:r>
      <w:r w:rsidR="008F7B1B" w:rsidRPr="00745FF4">
        <w:rPr>
          <w:rFonts w:ascii="Arial" w:hAnsi="Arial" w:cs="Arial"/>
          <w:i/>
          <w:iCs/>
          <w:sz w:val="28"/>
          <w:szCs w:val="28"/>
        </w:rPr>
        <w:t xml:space="preserve">:  </w:t>
      </w:r>
    </w:p>
    <w:p w14:paraId="1B9CB473" w14:textId="6EE78E61" w:rsidR="001E4737" w:rsidRPr="00745FF4" w:rsidRDefault="00D60E1E" w:rsidP="00DF37A4">
      <w:pPr>
        <w:spacing w:line="276" w:lineRule="auto"/>
        <w:jc w:val="both"/>
        <w:rPr>
          <w:rFonts w:ascii="Arial" w:hAnsi="Arial" w:cs="Arial"/>
          <w:iCs/>
          <w:sz w:val="28"/>
          <w:szCs w:val="28"/>
        </w:rPr>
      </w:pPr>
      <w:r w:rsidRPr="00745FF4">
        <w:rPr>
          <w:rFonts w:ascii="Arial" w:hAnsi="Arial" w:cs="Arial"/>
          <w:iCs/>
          <w:sz w:val="28"/>
          <w:szCs w:val="28"/>
        </w:rPr>
        <w:t>The</w:t>
      </w:r>
      <w:r w:rsidR="008F7B1B" w:rsidRPr="00745FF4">
        <w:rPr>
          <w:rFonts w:ascii="Arial" w:hAnsi="Arial" w:cs="Arial"/>
          <w:iCs/>
          <w:sz w:val="28"/>
          <w:szCs w:val="28"/>
        </w:rPr>
        <w:t xml:space="preserve"> procedure is for me to first read </w:t>
      </w:r>
      <w:r w:rsidR="00040DED" w:rsidRPr="00745FF4">
        <w:rPr>
          <w:rFonts w:ascii="Arial" w:hAnsi="Arial" w:cs="Arial"/>
          <w:iCs/>
          <w:sz w:val="28"/>
          <w:szCs w:val="28"/>
        </w:rPr>
        <w:t xml:space="preserve">each </w:t>
      </w:r>
      <w:r w:rsidR="008F7B1B" w:rsidRPr="00745FF4">
        <w:rPr>
          <w:rFonts w:ascii="Arial" w:hAnsi="Arial" w:cs="Arial"/>
          <w:iCs/>
          <w:sz w:val="28"/>
          <w:szCs w:val="28"/>
        </w:rPr>
        <w:t>note into the record]:</w:t>
      </w:r>
    </w:p>
    <w:p w14:paraId="444E0178" w14:textId="77777777" w:rsidR="004C54A8" w:rsidRPr="00745FF4" w:rsidRDefault="004C54A8" w:rsidP="00DF37A4">
      <w:pPr>
        <w:spacing w:line="276" w:lineRule="auto"/>
        <w:jc w:val="both"/>
        <w:rPr>
          <w:rFonts w:ascii="Arial" w:hAnsi="Arial" w:cs="Arial"/>
          <w:iCs/>
          <w:sz w:val="28"/>
          <w:szCs w:val="28"/>
        </w:rPr>
      </w:pPr>
    </w:p>
    <w:p w14:paraId="0689FA85" w14:textId="3A56956F" w:rsidR="008D474C" w:rsidRPr="00745FF4" w:rsidRDefault="00443D5E" w:rsidP="00DF37A4">
      <w:pPr>
        <w:spacing w:line="276" w:lineRule="auto"/>
        <w:ind w:left="720"/>
        <w:jc w:val="both"/>
        <w:rPr>
          <w:rFonts w:ascii="Arial" w:hAnsi="Arial" w:cs="Arial"/>
          <w:i/>
          <w:iCs/>
          <w:sz w:val="28"/>
          <w:szCs w:val="28"/>
        </w:rPr>
      </w:pPr>
      <w:r w:rsidRPr="00745FF4">
        <w:rPr>
          <w:rFonts w:ascii="Arial" w:hAnsi="Arial" w:cs="Arial"/>
          <w:i/>
          <w:sz w:val="28"/>
          <w:szCs w:val="28"/>
        </w:rPr>
        <w:t xml:space="preserve">(The Note is </w:t>
      </w:r>
      <w:r w:rsidR="00E86225" w:rsidRPr="00745FF4">
        <w:rPr>
          <w:rFonts w:ascii="Arial" w:hAnsi="Arial" w:cs="Arial"/>
          <w:i/>
          <w:sz w:val="28"/>
          <w:szCs w:val="28"/>
        </w:rPr>
        <w:t xml:space="preserve">then </w:t>
      </w:r>
      <w:r w:rsidRPr="00745FF4">
        <w:rPr>
          <w:rFonts w:ascii="Arial" w:hAnsi="Arial" w:cs="Arial"/>
          <w:i/>
          <w:sz w:val="28"/>
          <w:szCs w:val="28"/>
        </w:rPr>
        <w:t>read aloud on the record</w:t>
      </w:r>
      <w:r w:rsidR="008D474C" w:rsidRPr="00745FF4">
        <w:rPr>
          <w:rFonts w:ascii="Arial" w:hAnsi="Arial" w:cs="Arial"/>
          <w:i/>
          <w:sz w:val="28"/>
          <w:szCs w:val="28"/>
        </w:rPr>
        <w:t xml:space="preserve"> and</w:t>
      </w:r>
      <w:r w:rsidR="007D6CBD" w:rsidRPr="00745FF4">
        <w:rPr>
          <w:rFonts w:ascii="Arial" w:hAnsi="Arial" w:cs="Arial"/>
          <w:i/>
          <w:sz w:val="28"/>
          <w:szCs w:val="28"/>
        </w:rPr>
        <w:t xml:space="preserve"> </w:t>
      </w:r>
      <w:r w:rsidR="008D474C" w:rsidRPr="00745FF4">
        <w:rPr>
          <w:rFonts w:ascii="Arial" w:hAnsi="Arial" w:cs="Arial"/>
          <w:i/>
          <w:sz w:val="28"/>
          <w:szCs w:val="28"/>
        </w:rPr>
        <w:t>the</w:t>
      </w:r>
      <w:r w:rsidR="0047722F" w:rsidRPr="00745FF4">
        <w:rPr>
          <w:rFonts w:ascii="Arial" w:hAnsi="Arial" w:cs="Arial"/>
          <w:i/>
          <w:sz w:val="28"/>
          <w:szCs w:val="28"/>
        </w:rPr>
        <w:t>n</w:t>
      </w:r>
      <w:r w:rsidR="00997FED" w:rsidRPr="00745FF4">
        <w:rPr>
          <w:rFonts w:ascii="Arial" w:hAnsi="Arial" w:cs="Arial"/>
          <w:i/>
          <w:sz w:val="28"/>
          <w:szCs w:val="28"/>
        </w:rPr>
        <w:t xml:space="preserve"> </w:t>
      </w:r>
      <w:r w:rsidR="0047722F" w:rsidRPr="00745FF4">
        <w:rPr>
          <w:rFonts w:ascii="Arial" w:hAnsi="Arial" w:cs="Arial"/>
          <w:i/>
          <w:sz w:val="28"/>
          <w:szCs w:val="28"/>
        </w:rPr>
        <w:t xml:space="preserve">the </w:t>
      </w:r>
      <w:r w:rsidR="008D474C" w:rsidRPr="00745FF4">
        <w:rPr>
          <w:rFonts w:ascii="Arial" w:hAnsi="Arial" w:cs="Arial"/>
          <w:i/>
          <w:sz w:val="28"/>
          <w:szCs w:val="28"/>
        </w:rPr>
        <w:t>Court should p</w:t>
      </w:r>
      <w:r w:rsidR="008D474C" w:rsidRPr="00745FF4">
        <w:rPr>
          <w:rFonts w:ascii="Arial" w:hAnsi="Arial" w:cs="Arial"/>
          <w:i/>
          <w:iCs/>
          <w:sz w:val="28"/>
          <w:szCs w:val="28"/>
        </w:rPr>
        <w:t xml:space="preserve">rovide the jury with the response </w:t>
      </w:r>
      <w:r w:rsidR="00046735" w:rsidRPr="00745FF4">
        <w:rPr>
          <w:rFonts w:ascii="Arial" w:hAnsi="Arial" w:cs="Arial"/>
          <w:i/>
          <w:iCs/>
          <w:sz w:val="28"/>
          <w:szCs w:val="28"/>
        </w:rPr>
        <w:t xml:space="preserve">the Court has </w:t>
      </w:r>
      <w:r w:rsidR="008D474C" w:rsidRPr="00745FF4">
        <w:rPr>
          <w:rFonts w:ascii="Arial" w:hAnsi="Arial" w:cs="Arial"/>
          <w:i/>
          <w:iCs/>
          <w:sz w:val="28"/>
          <w:szCs w:val="28"/>
        </w:rPr>
        <w:t xml:space="preserve">agreed with the parties to give, or </w:t>
      </w:r>
      <w:r w:rsidR="00046735" w:rsidRPr="00745FF4">
        <w:rPr>
          <w:rFonts w:ascii="Arial" w:hAnsi="Arial" w:cs="Arial"/>
          <w:i/>
          <w:iCs/>
          <w:sz w:val="28"/>
          <w:szCs w:val="28"/>
        </w:rPr>
        <w:t>th</w:t>
      </w:r>
      <w:r w:rsidR="0047722F" w:rsidRPr="00745FF4">
        <w:rPr>
          <w:rFonts w:ascii="Arial" w:hAnsi="Arial" w:cs="Arial"/>
          <w:i/>
          <w:iCs/>
          <w:sz w:val="28"/>
          <w:szCs w:val="28"/>
        </w:rPr>
        <w:t xml:space="preserve">e </w:t>
      </w:r>
      <w:r w:rsidR="00046735" w:rsidRPr="00745FF4">
        <w:rPr>
          <w:rFonts w:ascii="Arial" w:hAnsi="Arial" w:cs="Arial"/>
          <w:i/>
          <w:iCs/>
          <w:sz w:val="28"/>
          <w:szCs w:val="28"/>
        </w:rPr>
        <w:t>response the Court has decided to give</w:t>
      </w:r>
      <w:r w:rsidR="008D474C" w:rsidRPr="00745FF4">
        <w:rPr>
          <w:rFonts w:ascii="Arial" w:hAnsi="Arial" w:cs="Arial"/>
          <w:i/>
          <w:iCs/>
          <w:sz w:val="28"/>
          <w:szCs w:val="28"/>
        </w:rPr>
        <w:t xml:space="preserve"> after </w:t>
      </w:r>
      <w:r w:rsidR="00046735" w:rsidRPr="00745FF4">
        <w:rPr>
          <w:rFonts w:ascii="Arial" w:hAnsi="Arial" w:cs="Arial"/>
          <w:i/>
          <w:iCs/>
          <w:sz w:val="28"/>
          <w:szCs w:val="28"/>
        </w:rPr>
        <w:t xml:space="preserve">having </w:t>
      </w:r>
      <w:r w:rsidR="008D474C" w:rsidRPr="00745FF4">
        <w:rPr>
          <w:rFonts w:ascii="Arial" w:hAnsi="Arial" w:cs="Arial"/>
          <w:i/>
          <w:iCs/>
          <w:sz w:val="28"/>
          <w:szCs w:val="28"/>
        </w:rPr>
        <w:t>hear</w:t>
      </w:r>
      <w:r w:rsidR="00B0643A" w:rsidRPr="00745FF4">
        <w:rPr>
          <w:rFonts w:ascii="Arial" w:hAnsi="Arial" w:cs="Arial"/>
          <w:i/>
          <w:iCs/>
          <w:sz w:val="28"/>
          <w:szCs w:val="28"/>
        </w:rPr>
        <w:t>d</w:t>
      </w:r>
      <w:r w:rsidR="008D474C" w:rsidRPr="00745FF4">
        <w:rPr>
          <w:rFonts w:ascii="Arial" w:hAnsi="Arial" w:cs="Arial"/>
          <w:i/>
          <w:iCs/>
          <w:sz w:val="28"/>
          <w:szCs w:val="28"/>
        </w:rPr>
        <w:t xml:space="preserve"> from the parties</w:t>
      </w:r>
      <w:r w:rsidR="00F36CD1" w:rsidRPr="00745FF4">
        <w:rPr>
          <w:rFonts w:ascii="Arial" w:hAnsi="Arial" w:cs="Arial"/>
          <w:i/>
          <w:iCs/>
          <w:sz w:val="28"/>
          <w:szCs w:val="28"/>
        </w:rPr>
        <w:t xml:space="preserve"> </w:t>
      </w:r>
      <w:r w:rsidR="0024054B" w:rsidRPr="00745FF4">
        <w:rPr>
          <w:rFonts w:ascii="Arial" w:hAnsi="Arial" w:cs="Arial"/>
          <w:i/>
          <w:iCs/>
          <w:sz w:val="28"/>
          <w:szCs w:val="28"/>
        </w:rPr>
        <w:t xml:space="preserve">on </w:t>
      </w:r>
      <w:r w:rsidR="00F36CD1" w:rsidRPr="00745FF4">
        <w:rPr>
          <w:rFonts w:ascii="Arial" w:hAnsi="Arial" w:cs="Arial"/>
          <w:i/>
          <w:iCs/>
          <w:sz w:val="28"/>
          <w:szCs w:val="28"/>
        </w:rPr>
        <w:t>what</w:t>
      </w:r>
      <w:r w:rsidR="008D474C" w:rsidRPr="00745FF4">
        <w:rPr>
          <w:rFonts w:ascii="Arial" w:hAnsi="Arial" w:cs="Arial"/>
          <w:i/>
          <w:iCs/>
          <w:sz w:val="28"/>
          <w:szCs w:val="28"/>
        </w:rPr>
        <w:t xml:space="preserve"> the response should be.</w:t>
      </w:r>
      <w:r w:rsidR="00AC101E" w:rsidRPr="00745FF4">
        <w:rPr>
          <w:rFonts w:ascii="Arial" w:hAnsi="Arial" w:cs="Arial"/>
          <w:i/>
          <w:iCs/>
          <w:sz w:val="28"/>
          <w:szCs w:val="28"/>
        </w:rPr>
        <w:t xml:space="preserve"> If the Note was for an </w:t>
      </w:r>
      <w:r w:rsidR="009A081C" w:rsidRPr="00745FF4">
        <w:rPr>
          <w:rFonts w:ascii="Arial" w:hAnsi="Arial" w:cs="Arial"/>
          <w:i/>
          <w:iCs/>
          <w:sz w:val="28"/>
          <w:szCs w:val="28"/>
        </w:rPr>
        <w:t>exhibit</w:t>
      </w:r>
      <w:r w:rsidR="00AC101E" w:rsidRPr="00745FF4">
        <w:rPr>
          <w:rFonts w:ascii="Arial" w:hAnsi="Arial" w:cs="Arial"/>
          <w:i/>
          <w:iCs/>
          <w:sz w:val="28"/>
          <w:szCs w:val="28"/>
        </w:rPr>
        <w:t xml:space="preserve"> which had been given the jury, the Court should have the foreperson acknowledge receipt of the </w:t>
      </w:r>
      <w:r w:rsidR="009A081C" w:rsidRPr="00745FF4">
        <w:rPr>
          <w:rFonts w:ascii="Arial" w:hAnsi="Arial" w:cs="Arial"/>
          <w:i/>
          <w:iCs/>
          <w:sz w:val="28"/>
          <w:szCs w:val="28"/>
        </w:rPr>
        <w:t>exhibit</w:t>
      </w:r>
      <w:r w:rsidR="00AC101E" w:rsidRPr="00745FF4">
        <w:rPr>
          <w:rFonts w:ascii="Arial" w:hAnsi="Arial" w:cs="Arial"/>
          <w:i/>
          <w:iCs/>
          <w:sz w:val="28"/>
          <w:szCs w:val="28"/>
        </w:rPr>
        <w:t>.</w:t>
      </w:r>
      <w:r w:rsidR="008D474C" w:rsidRPr="00745FF4">
        <w:rPr>
          <w:rFonts w:ascii="Arial" w:hAnsi="Arial" w:cs="Arial"/>
          <w:i/>
          <w:iCs/>
          <w:sz w:val="28"/>
          <w:szCs w:val="28"/>
        </w:rPr>
        <w:t>)</w:t>
      </w:r>
    </w:p>
    <w:p w14:paraId="5E194967" w14:textId="77777777" w:rsidR="006E0827" w:rsidRPr="00745FF4" w:rsidRDefault="006E0827" w:rsidP="00DF37A4">
      <w:pPr>
        <w:spacing w:line="276" w:lineRule="auto"/>
        <w:jc w:val="both"/>
        <w:rPr>
          <w:rFonts w:ascii="Arial" w:hAnsi="Arial" w:cs="Arial"/>
          <w:sz w:val="28"/>
          <w:szCs w:val="28"/>
        </w:rPr>
      </w:pPr>
    </w:p>
    <w:sectPr w:rsidR="006E0827" w:rsidRPr="00745FF4" w:rsidSect="00443D5E">
      <w:endnotePr>
        <w:numFmt w:val="decimal"/>
      </w:endnotePr>
      <w:pgSz w:w="12240" w:h="15840"/>
      <w:pgMar w:top="1080" w:right="2160" w:bottom="1080" w:left="216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19DCF" w14:textId="77777777" w:rsidR="00CB5949" w:rsidRDefault="00CB5949" w:rsidP="004607FA">
      <w:pPr>
        <w:spacing w:after="0" w:line="240" w:lineRule="auto"/>
      </w:pPr>
      <w:r>
        <w:separator/>
      </w:r>
    </w:p>
  </w:endnote>
  <w:endnote w:type="continuationSeparator" w:id="0">
    <w:p w14:paraId="22A0BB9E" w14:textId="77777777" w:rsidR="00CB5949" w:rsidRDefault="00CB5949" w:rsidP="004607FA">
      <w:pPr>
        <w:spacing w:after="0" w:line="240" w:lineRule="auto"/>
      </w:pPr>
      <w:r>
        <w:continuationSeparator/>
      </w:r>
    </w:p>
  </w:endnote>
  <w:endnote w:type="continuationNotice" w:id="1">
    <w:p w14:paraId="41340484" w14:textId="77777777" w:rsidR="00CB5949" w:rsidRDefault="00CB5949">
      <w:pPr>
        <w:spacing w:after="0" w:line="240" w:lineRule="auto"/>
      </w:pPr>
    </w:p>
  </w:endnote>
  <w:endnote w:id="2">
    <w:p w14:paraId="63301BC2" w14:textId="5C78641F" w:rsidR="00055219" w:rsidRPr="00745FF4" w:rsidRDefault="00D2282E" w:rsidP="00055219">
      <w:pPr>
        <w:pStyle w:val="EndnoteText"/>
        <w:jc w:val="both"/>
        <w:rPr>
          <w:rFonts w:ascii="Arial" w:hAnsi="Arial" w:cs="Arial"/>
          <w:sz w:val="24"/>
          <w:szCs w:val="24"/>
        </w:rPr>
      </w:pPr>
      <w:r w:rsidRPr="00745FF4">
        <w:rPr>
          <w:rStyle w:val="EndnoteReference"/>
        </w:rPr>
        <w:endnoteRef/>
      </w:r>
      <w:r w:rsidRPr="00745FF4">
        <w:t xml:space="preserve"> </w:t>
      </w:r>
      <w:r w:rsidR="00055219" w:rsidRPr="00745FF4">
        <w:t xml:space="preserve">   </w:t>
      </w:r>
      <w:r w:rsidR="00055219" w:rsidRPr="00745FF4">
        <w:rPr>
          <w:rFonts w:ascii="Arial" w:hAnsi="Arial" w:cs="Arial"/>
          <w:sz w:val="24"/>
          <w:szCs w:val="24"/>
        </w:rPr>
        <w:t xml:space="preserve">The </w:t>
      </w:r>
      <w:r w:rsidR="000F0217" w:rsidRPr="00745FF4">
        <w:rPr>
          <w:rFonts w:ascii="Arial" w:hAnsi="Arial" w:cs="Arial"/>
          <w:sz w:val="24"/>
          <w:szCs w:val="24"/>
        </w:rPr>
        <w:t>“</w:t>
      </w:r>
      <w:r w:rsidR="00055219" w:rsidRPr="00745FF4">
        <w:rPr>
          <w:rFonts w:ascii="Arial" w:hAnsi="Arial" w:cs="Arial"/>
          <w:sz w:val="24"/>
          <w:szCs w:val="24"/>
        </w:rPr>
        <w:t>procedure is not implicated when the jury’s request is ministerial in nature and therefore requires only a ministerial response</w:t>
      </w:r>
      <w:r w:rsidR="00F05698" w:rsidRPr="00745FF4">
        <w:rPr>
          <w:rFonts w:ascii="Arial" w:hAnsi="Arial" w:cs="Arial"/>
          <w:sz w:val="24"/>
          <w:szCs w:val="24"/>
        </w:rPr>
        <w:t>.</w:t>
      </w:r>
      <w:r w:rsidR="00055219" w:rsidRPr="00745FF4">
        <w:rPr>
          <w:rFonts w:ascii="Arial" w:hAnsi="Arial" w:cs="Arial"/>
          <w:sz w:val="24"/>
          <w:szCs w:val="24"/>
        </w:rPr>
        <w:t>”</w:t>
      </w:r>
      <w:r w:rsidR="00F05698" w:rsidRPr="00745FF4">
        <w:rPr>
          <w:rFonts w:ascii="Arial" w:hAnsi="Arial" w:cs="Arial"/>
          <w:sz w:val="24"/>
          <w:szCs w:val="24"/>
        </w:rPr>
        <w:t xml:space="preserve">  </w:t>
      </w:r>
      <w:r w:rsidR="00055219" w:rsidRPr="00745FF4">
        <w:rPr>
          <w:rFonts w:ascii="Arial" w:hAnsi="Arial" w:cs="Arial"/>
          <w:i/>
          <w:sz w:val="24"/>
          <w:szCs w:val="24"/>
        </w:rPr>
        <w:t>People v. Nealon,</w:t>
      </w:r>
      <w:r w:rsidR="00055219" w:rsidRPr="00745FF4">
        <w:rPr>
          <w:rFonts w:ascii="Arial" w:hAnsi="Arial" w:cs="Arial"/>
          <w:sz w:val="24"/>
          <w:szCs w:val="24"/>
        </w:rPr>
        <w:t xml:space="preserve"> 26 NY3d 152, 161 (2015) (quotation and citations omitted</w:t>
      </w:r>
      <w:r w:rsidR="000F0217" w:rsidRPr="00745FF4">
        <w:rPr>
          <w:rFonts w:ascii="Arial" w:hAnsi="Arial" w:cs="Arial"/>
          <w:sz w:val="24"/>
          <w:szCs w:val="24"/>
        </w:rPr>
        <w:t>)</w:t>
      </w:r>
      <w:r w:rsidR="00055219" w:rsidRPr="00745FF4">
        <w:rPr>
          <w:rFonts w:ascii="Arial" w:hAnsi="Arial" w:cs="Arial"/>
          <w:sz w:val="24"/>
          <w:szCs w:val="24"/>
        </w:rPr>
        <w:t xml:space="preserve">. </w:t>
      </w:r>
      <w:r w:rsidR="004227BB" w:rsidRPr="00745FF4">
        <w:rPr>
          <w:rFonts w:ascii="Arial" w:hAnsi="Arial" w:cs="Arial"/>
          <w:i/>
          <w:sz w:val="24"/>
          <w:szCs w:val="24"/>
        </w:rPr>
        <w:t>See People v. Mays,</w:t>
      </w:r>
      <w:r w:rsidR="004227BB" w:rsidRPr="00745FF4">
        <w:rPr>
          <w:rFonts w:ascii="Arial" w:hAnsi="Arial" w:cs="Arial"/>
          <w:sz w:val="24"/>
          <w:szCs w:val="24"/>
        </w:rPr>
        <w:t xml:space="preserve"> 20 NY3d 969 (2012) (a claimed error in responding to a deliberating jury’s oral requests in open court in the presence of the defense on how they wanted a video exhibit played for them (which the defense did not object to) was a ministerial inquiry).  </w:t>
      </w:r>
      <w:r w:rsidR="00FC0439" w:rsidRPr="00745FF4">
        <w:rPr>
          <w:rFonts w:ascii="Arial" w:hAnsi="Arial" w:cs="Arial"/>
          <w:sz w:val="24"/>
          <w:szCs w:val="24"/>
        </w:rPr>
        <w:t xml:space="preserve">A </w:t>
      </w:r>
      <w:r w:rsidR="00055219" w:rsidRPr="00745FF4">
        <w:rPr>
          <w:rFonts w:ascii="Arial" w:hAnsi="Arial" w:cs="Arial"/>
          <w:sz w:val="24"/>
          <w:szCs w:val="24"/>
        </w:rPr>
        <w:t>question of whether a jury communication is ministerial, however, will often be in the eye of the judicial beholder</w:t>
      </w:r>
      <w:r w:rsidR="00FC0439" w:rsidRPr="00745FF4">
        <w:rPr>
          <w:rFonts w:ascii="Arial" w:hAnsi="Arial" w:cs="Arial"/>
          <w:sz w:val="24"/>
          <w:szCs w:val="24"/>
        </w:rPr>
        <w:t xml:space="preserve">; thus, the wiser and reasonable course of action is to comply with the </w:t>
      </w:r>
      <w:r w:rsidR="00387845" w:rsidRPr="00745FF4">
        <w:rPr>
          <w:rFonts w:ascii="Arial" w:hAnsi="Arial" w:cs="Arial"/>
          <w:sz w:val="24"/>
          <w:szCs w:val="24"/>
        </w:rPr>
        <w:t>procedure set forth herein.</w:t>
      </w:r>
      <w:r w:rsidR="00055219" w:rsidRPr="00745FF4">
        <w:rPr>
          <w:rFonts w:ascii="Arial" w:hAnsi="Arial" w:cs="Arial"/>
          <w:sz w:val="24"/>
          <w:szCs w:val="24"/>
        </w:rPr>
        <w:t>   </w:t>
      </w:r>
    </w:p>
    <w:p w14:paraId="5F292980" w14:textId="6AA7FB93" w:rsidR="00D2282E" w:rsidRPr="00745FF4" w:rsidRDefault="00D2282E">
      <w:pPr>
        <w:pStyle w:val="EndnoteText"/>
        <w:rPr>
          <w:sz w:val="24"/>
          <w:szCs w:val="24"/>
        </w:rPr>
      </w:pPr>
    </w:p>
  </w:endnote>
  <w:endnote w:id="3">
    <w:p w14:paraId="543F0F2B" w14:textId="4A7137B1" w:rsidR="00F84E48" w:rsidRPr="00745FF4" w:rsidRDefault="00E030C5" w:rsidP="00494560">
      <w:pPr>
        <w:pStyle w:val="EndnoteText"/>
        <w:jc w:val="both"/>
        <w:rPr>
          <w:rFonts w:ascii="Arial" w:hAnsi="Arial" w:cs="Arial"/>
          <w:sz w:val="24"/>
          <w:szCs w:val="24"/>
        </w:rPr>
      </w:pPr>
      <w:r w:rsidRPr="00745FF4">
        <w:rPr>
          <w:rStyle w:val="EndnoteReference"/>
        </w:rPr>
        <w:endnoteRef/>
      </w:r>
      <w:r w:rsidRPr="00745FF4">
        <w:t xml:space="preserve">  </w:t>
      </w:r>
      <w:r w:rsidR="001630A4" w:rsidRPr="00745FF4">
        <w:t xml:space="preserve"> </w:t>
      </w:r>
      <w:r w:rsidR="00DA5602" w:rsidRPr="00745FF4">
        <w:rPr>
          <w:rFonts w:ascii="Arial" w:hAnsi="Arial" w:cs="Arial"/>
          <w:sz w:val="24"/>
          <w:szCs w:val="24"/>
        </w:rPr>
        <w:t xml:space="preserve">Preservation </w:t>
      </w:r>
      <w:r w:rsidR="001A401F" w:rsidRPr="00745FF4">
        <w:rPr>
          <w:rFonts w:ascii="Arial" w:hAnsi="Arial" w:cs="Arial"/>
          <w:sz w:val="24"/>
          <w:szCs w:val="24"/>
        </w:rPr>
        <w:t xml:space="preserve">of a purported error </w:t>
      </w:r>
      <w:r w:rsidR="0082765D" w:rsidRPr="00745FF4">
        <w:rPr>
          <w:rFonts w:ascii="Arial" w:hAnsi="Arial" w:cs="Arial"/>
          <w:sz w:val="24"/>
          <w:szCs w:val="24"/>
        </w:rPr>
        <w:t>related to a jury’s inquiry</w:t>
      </w:r>
      <w:r w:rsidR="001A401F" w:rsidRPr="00745FF4">
        <w:rPr>
          <w:rFonts w:ascii="Arial" w:hAnsi="Arial" w:cs="Arial"/>
          <w:sz w:val="24"/>
          <w:szCs w:val="24"/>
        </w:rPr>
        <w:t xml:space="preserve"> </w:t>
      </w:r>
      <w:r w:rsidR="00DA5602" w:rsidRPr="00745FF4">
        <w:rPr>
          <w:rFonts w:ascii="Arial" w:hAnsi="Arial" w:cs="Arial"/>
          <w:sz w:val="24"/>
          <w:szCs w:val="24"/>
        </w:rPr>
        <w:t xml:space="preserve">is required when the defense is on meaningful notice of the </w:t>
      </w:r>
      <w:r w:rsidR="00B904C5" w:rsidRPr="00745FF4">
        <w:rPr>
          <w:rFonts w:ascii="Arial" w:hAnsi="Arial" w:cs="Arial"/>
          <w:sz w:val="24"/>
          <w:szCs w:val="24"/>
        </w:rPr>
        <w:t xml:space="preserve">jury inquiry and fails to protest the trial court’s </w:t>
      </w:r>
      <w:r w:rsidR="00F84E48" w:rsidRPr="00745FF4">
        <w:rPr>
          <w:rFonts w:ascii="Arial" w:hAnsi="Arial" w:cs="Arial"/>
          <w:sz w:val="24"/>
          <w:szCs w:val="24"/>
        </w:rPr>
        <w:t xml:space="preserve">response. </w:t>
      </w:r>
      <w:r w:rsidR="00F84E48" w:rsidRPr="00745FF4">
        <w:rPr>
          <w:rFonts w:ascii="Arial" w:hAnsi="Arial" w:cs="Arial"/>
          <w:i/>
          <w:sz w:val="24"/>
          <w:szCs w:val="24"/>
        </w:rPr>
        <w:t>People v. Starling</w:t>
      </w:r>
      <w:r w:rsidR="00F84E48" w:rsidRPr="00745FF4">
        <w:rPr>
          <w:rFonts w:ascii="Arial" w:hAnsi="Arial" w:cs="Arial"/>
          <w:sz w:val="24"/>
          <w:szCs w:val="24"/>
        </w:rPr>
        <w:t xml:space="preserve">, 85 NY2d 509 (1995) (a claimed error in the court reading a jury note in open court in the presence of the defense  was not preserved in the absence of a defense objection); </w:t>
      </w:r>
      <w:r w:rsidR="00F84E48" w:rsidRPr="00745FF4">
        <w:rPr>
          <w:rFonts w:ascii="Arial" w:hAnsi="Arial" w:cs="Arial"/>
          <w:i/>
          <w:sz w:val="24"/>
          <w:szCs w:val="24"/>
        </w:rPr>
        <w:t>People v. Stewart</w:t>
      </w:r>
      <w:r w:rsidR="00F84E48" w:rsidRPr="00745FF4">
        <w:rPr>
          <w:rFonts w:ascii="Arial" w:hAnsi="Arial" w:cs="Arial"/>
          <w:sz w:val="24"/>
          <w:szCs w:val="24"/>
        </w:rPr>
        <w:t>, 81 NY2d 877 (1993) (a claimed error in oral questions from the jury, responded to by the court, during the giving of supplemental instructions was not preserved in the absence of a defense objection);</w:t>
      </w:r>
      <w:r w:rsidR="0071277A" w:rsidRPr="00745FF4">
        <w:rPr>
          <w:rFonts w:ascii="Arial" w:hAnsi="Arial" w:cs="Arial"/>
          <w:sz w:val="24"/>
          <w:szCs w:val="24"/>
        </w:rPr>
        <w:t xml:space="preserve"> </w:t>
      </w:r>
      <w:r w:rsidR="00F84E48" w:rsidRPr="00745FF4">
        <w:rPr>
          <w:rFonts w:ascii="Arial" w:hAnsi="Arial" w:cs="Arial"/>
          <w:i/>
          <w:iCs/>
          <w:sz w:val="24"/>
          <w:szCs w:val="24"/>
        </w:rPr>
        <w:t xml:space="preserve"> People v Ramirez</w:t>
      </w:r>
      <w:r w:rsidR="00F84E48" w:rsidRPr="00745FF4">
        <w:rPr>
          <w:rFonts w:ascii="Arial" w:hAnsi="Arial" w:cs="Arial"/>
          <w:sz w:val="24"/>
          <w:szCs w:val="24"/>
        </w:rPr>
        <w:t>, 15 NY3d 824 (2010) (a claimed error was not preserved</w:t>
      </w:r>
      <w:r w:rsidR="00BC51EE" w:rsidRPr="00745FF4">
        <w:rPr>
          <w:rFonts w:ascii="Arial" w:hAnsi="Arial" w:cs="Arial"/>
          <w:sz w:val="24"/>
          <w:szCs w:val="24"/>
        </w:rPr>
        <w:t xml:space="preserve"> when </w:t>
      </w:r>
      <w:r w:rsidR="00F84E48" w:rsidRPr="00745FF4">
        <w:rPr>
          <w:rFonts w:ascii="Arial" w:hAnsi="Arial" w:cs="Arial"/>
          <w:sz w:val="24"/>
          <w:szCs w:val="24"/>
        </w:rPr>
        <w:t>“defense counsel had notice of the contents of the note and the court's</w:t>
      </w:r>
      <w:r w:rsidR="00494560" w:rsidRPr="00745FF4">
        <w:rPr>
          <w:rFonts w:ascii="Arial" w:hAnsi="Arial" w:cs="Arial"/>
          <w:sz w:val="24"/>
          <w:szCs w:val="24"/>
        </w:rPr>
        <w:t xml:space="preserve"> r</w:t>
      </w:r>
      <w:r w:rsidR="00F84E48" w:rsidRPr="00745FF4">
        <w:rPr>
          <w:rFonts w:ascii="Arial" w:hAnsi="Arial" w:cs="Arial"/>
          <w:sz w:val="24"/>
          <w:szCs w:val="24"/>
        </w:rPr>
        <w:t>esponse” and failed to object)</w:t>
      </w:r>
      <w:r w:rsidR="00494560" w:rsidRPr="00745FF4">
        <w:rPr>
          <w:rFonts w:ascii="Arial" w:hAnsi="Arial" w:cs="Arial"/>
          <w:sz w:val="24"/>
          <w:szCs w:val="24"/>
        </w:rPr>
        <w:t xml:space="preserve">; </w:t>
      </w:r>
      <w:r w:rsidR="00F84E48" w:rsidRPr="00745FF4">
        <w:rPr>
          <w:rFonts w:ascii="Arial" w:hAnsi="Arial" w:cs="Arial"/>
          <w:i/>
          <w:iCs/>
          <w:sz w:val="24"/>
          <w:szCs w:val="24"/>
        </w:rPr>
        <w:t>People v. Alcide</w:t>
      </w:r>
      <w:r w:rsidR="00F84E48" w:rsidRPr="00745FF4">
        <w:rPr>
          <w:rFonts w:ascii="Arial" w:hAnsi="Arial" w:cs="Arial"/>
          <w:sz w:val="24"/>
          <w:szCs w:val="24"/>
        </w:rPr>
        <w:t>, 21 NY3d 687 (2013) (a claimed error was not preserved when in open court in the presence of the jury and the defense, the court revealed that it had received a jury note for the readback of testimony and</w:t>
      </w:r>
      <w:r w:rsidR="00FB41DD" w:rsidRPr="00745FF4">
        <w:rPr>
          <w:rFonts w:ascii="Arial" w:hAnsi="Arial" w:cs="Arial"/>
          <w:sz w:val="24"/>
          <w:szCs w:val="24"/>
        </w:rPr>
        <w:t xml:space="preserve"> specified</w:t>
      </w:r>
      <w:r w:rsidR="00F84E48" w:rsidRPr="00745FF4">
        <w:rPr>
          <w:rFonts w:ascii="Arial" w:hAnsi="Arial" w:cs="Arial"/>
          <w:sz w:val="24"/>
          <w:szCs w:val="24"/>
        </w:rPr>
        <w:t xml:space="preserve"> how it would be responded to and there was no defense objection)</w:t>
      </w:r>
      <w:r w:rsidR="00494560" w:rsidRPr="00745FF4">
        <w:rPr>
          <w:rFonts w:ascii="Arial" w:hAnsi="Arial" w:cs="Arial"/>
          <w:sz w:val="24"/>
          <w:szCs w:val="24"/>
        </w:rPr>
        <w:t xml:space="preserve">; </w:t>
      </w:r>
      <w:r w:rsidR="00F84E48" w:rsidRPr="00745FF4">
        <w:rPr>
          <w:rFonts w:ascii="Arial" w:hAnsi="Arial" w:cs="Arial"/>
          <w:i/>
          <w:iCs/>
          <w:sz w:val="24"/>
          <w:szCs w:val="24"/>
        </w:rPr>
        <w:t>People v. Nealon</w:t>
      </w:r>
      <w:r w:rsidR="00F84E48" w:rsidRPr="00745FF4">
        <w:rPr>
          <w:rFonts w:ascii="Arial" w:hAnsi="Arial" w:cs="Arial"/>
          <w:sz w:val="24"/>
          <w:szCs w:val="24"/>
        </w:rPr>
        <w:t xml:space="preserve">, 26 NY3d 152 (2015) (a claimed error was not preserved when the trial court “read the precise contents of the notes into the record in open court in the presence of counsel, defendant, and the jury before providing its response” and the defense failed to object). </w:t>
      </w:r>
    </w:p>
    <w:p w14:paraId="15285009" w14:textId="77777777" w:rsidR="00DA5602" w:rsidRPr="00745FF4" w:rsidRDefault="00DA5602">
      <w:pPr>
        <w:pStyle w:val="EndnoteText"/>
      </w:pPr>
    </w:p>
  </w:endnote>
  <w:endnote w:id="4">
    <w:p w14:paraId="4C3E7A87" w14:textId="3A63B1E6" w:rsidR="005F269A" w:rsidRPr="00745FF4" w:rsidRDefault="005F269A" w:rsidP="005F269A">
      <w:pPr>
        <w:pStyle w:val="EndnoteText"/>
        <w:jc w:val="both"/>
        <w:rPr>
          <w:rFonts w:ascii="Arial" w:hAnsi="Arial" w:cs="Arial"/>
          <w:sz w:val="24"/>
          <w:szCs w:val="24"/>
        </w:rPr>
      </w:pPr>
      <w:r w:rsidRPr="00745FF4">
        <w:rPr>
          <w:rStyle w:val="EndnoteReference"/>
        </w:rPr>
        <w:endnoteRef/>
      </w:r>
      <w:r w:rsidRPr="00745FF4">
        <w:t xml:space="preserve"> </w:t>
      </w:r>
      <w:r w:rsidRPr="00745FF4">
        <w:rPr>
          <w:rFonts w:ascii="Arial" w:hAnsi="Arial" w:cs="Arial"/>
          <w:sz w:val="24"/>
          <w:szCs w:val="24"/>
        </w:rPr>
        <w:t xml:space="preserve">   A common request of a deliberating jury is to be given an </w:t>
      </w:r>
      <w:r w:rsidR="009A081C" w:rsidRPr="00745FF4">
        <w:rPr>
          <w:rFonts w:ascii="Arial" w:hAnsi="Arial" w:cs="Arial"/>
          <w:sz w:val="24"/>
          <w:szCs w:val="24"/>
        </w:rPr>
        <w:t>exhibit</w:t>
      </w:r>
      <w:r w:rsidRPr="00745FF4">
        <w:rPr>
          <w:rFonts w:ascii="Arial" w:hAnsi="Arial" w:cs="Arial"/>
          <w:sz w:val="24"/>
          <w:szCs w:val="24"/>
        </w:rPr>
        <w:t xml:space="preserve">, often at a point in time when the parties are not immediately available.  A common practice to avoid the delay that is occasioned by reassembling the parties and then conducting an in-court proceeding simply to give the jury an </w:t>
      </w:r>
      <w:r w:rsidR="009A081C" w:rsidRPr="00745FF4">
        <w:rPr>
          <w:rFonts w:ascii="Arial" w:hAnsi="Arial" w:cs="Arial"/>
          <w:sz w:val="24"/>
          <w:szCs w:val="24"/>
        </w:rPr>
        <w:t>exhibit</w:t>
      </w:r>
      <w:r w:rsidRPr="00745FF4">
        <w:rPr>
          <w:rFonts w:ascii="Arial" w:hAnsi="Arial" w:cs="Arial"/>
          <w:sz w:val="24"/>
          <w:szCs w:val="24"/>
        </w:rPr>
        <w:t xml:space="preserve"> is to ask the parties on the record, after the jury has retired to deliberate, whether they would consent to having an </w:t>
      </w:r>
      <w:r w:rsidR="009A081C" w:rsidRPr="00745FF4">
        <w:rPr>
          <w:rFonts w:ascii="Arial" w:hAnsi="Arial" w:cs="Arial"/>
          <w:sz w:val="24"/>
          <w:szCs w:val="24"/>
        </w:rPr>
        <w:t>exhibit</w:t>
      </w:r>
      <w:r w:rsidRPr="00745FF4">
        <w:rPr>
          <w:rFonts w:ascii="Arial" w:hAnsi="Arial" w:cs="Arial"/>
          <w:sz w:val="24"/>
          <w:szCs w:val="24"/>
        </w:rPr>
        <w:t xml:space="preserve"> being given to the jury upon the jury’s written request without first consulting with them </w:t>
      </w:r>
      <w:r w:rsidR="008E4454" w:rsidRPr="00745FF4">
        <w:rPr>
          <w:rFonts w:ascii="Arial" w:hAnsi="Arial" w:cs="Arial"/>
          <w:sz w:val="24"/>
          <w:szCs w:val="24"/>
        </w:rPr>
        <w:t xml:space="preserve">if they are not in the courtroom </w:t>
      </w:r>
      <w:r w:rsidRPr="00745FF4">
        <w:rPr>
          <w:rFonts w:ascii="Arial" w:hAnsi="Arial" w:cs="Arial"/>
          <w:sz w:val="24"/>
          <w:szCs w:val="24"/>
        </w:rPr>
        <w:t xml:space="preserve">and conducting an in-court proceeding. If the parties agree, the court should: (1) on the record direct the lawyers to gather the exhibits, consult on their accuracy, and provide them to the Clerk of the Court; (2) upon receiving a request for an </w:t>
      </w:r>
      <w:r w:rsidR="009A081C" w:rsidRPr="00745FF4">
        <w:rPr>
          <w:rFonts w:ascii="Arial" w:hAnsi="Arial" w:cs="Arial"/>
          <w:sz w:val="24"/>
          <w:szCs w:val="24"/>
        </w:rPr>
        <w:t>exhibit</w:t>
      </w:r>
      <w:r w:rsidRPr="00745FF4">
        <w:rPr>
          <w:rFonts w:ascii="Arial" w:hAnsi="Arial" w:cs="Arial"/>
          <w:sz w:val="24"/>
          <w:szCs w:val="24"/>
        </w:rPr>
        <w:t xml:space="preserve"> from the jury, the court should preserve the Note </w:t>
      </w:r>
      <w:r w:rsidR="00D56ADA" w:rsidRPr="00745FF4">
        <w:rPr>
          <w:rFonts w:ascii="Arial" w:hAnsi="Arial" w:cs="Arial"/>
          <w:sz w:val="24"/>
          <w:szCs w:val="24"/>
        </w:rPr>
        <w:t>and when possible have it marked as a court exhibit</w:t>
      </w:r>
      <w:r w:rsidRPr="00745FF4">
        <w:rPr>
          <w:rFonts w:ascii="Arial" w:hAnsi="Arial" w:cs="Arial"/>
          <w:sz w:val="24"/>
          <w:szCs w:val="24"/>
        </w:rPr>
        <w:t xml:space="preserve">; (3) have a court officer take the requested </w:t>
      </w:r>
      <w:r w:rsidR="009A081C" w:rsidRPr="00745FF4">
        <w:rPr>
          <w:rFonts w:ascii="Arial" w:hAnsi="Arial" w:cs="Arial"/>
          <w:sz w:val="24"/>
          <w:szCs w:val="24"/>
        </w:rPr>
        <w:t>exhibit</w:t>
      </w:r>
      <w:r w:rsidRPr="00745FF4">
        <w:rPr>
          <w:rFonts w:ascii="Arial" w:hAnsi="Arial" w:cs="Arial"/>
          <w:sz w:val="24"/>
          <w:szCs w:val="24"/>
        </w:rPr>
        <w:t xml:space="preserve"> into the jury room; (4) when the parties, including the defendant</w:t>
      </w:r>
      <w:r w:rsidR="002B2785" w:rsidRPr="00745FF4">
        <w:rPr>
          <w:rFonts w:ascii="Arial" w:hAnsi="Arial" w:cs="Arial"/>
          <w:sz w:val="24"/>
          <w:szCs w:val="24"/>
        </w:rPr>
        <w:t>,</w:t>
      </w:r>
      <w:r w:rsidRPr="00745FF4">
        <w:rPr>
          <w:rFonts w:ascii="Arial" w:hAnsi="Arial" w:cs="Arial"/>
          <w:sz w:val="24"/>
          <w:szCs w:val="24"/>
        </w:rPr>
        <w:t xml:space="preserve"> are next assembled in the courtroom, place on the record the exhibit number and the verbatim contents of the</w:t>
      </w:r>
      <w:r w:rsidR="006E6C78" w:rsidRPr="00745FF4">
        <w:rPr>
          <w:rFonts w:ascii="Arial" w:hAnsi="Arial" w:cs="Arial"/>
          <w:sz w:val="24"/>
          <w:szCs w:val="24"/>
        </w:rPr>
        <w:t xml:space="preserve"> N</w:t>
      </w:r>
      <w:r w:rsidRPr="00745FF4">
        <w:rPr>
          <w:rFonts w:ascii="Arial" w:hAnsi="Arial" w:cs="Arial"/>
          <w:sz w:val="24"/>
          <w:szCs w:val="24"/>
        </w:rPr>
        <w:t xml:space="preserve">ote and that pursuant to the consent of the parties, the </w:t>
      </w:r>
      <w:r w:rsidR="009A081C" w:rsidRPr="00745FF4">
        <w:rPr>
          <w:rFonts w:ascii="Arial" w:hAnsi="Arial" w:cs="Arial"/>
          <w:sz w:val="24"/>
          <w:szCs w:val="24"/>
        </w:rPr>
        <w:t>exhibit</w:t>
      </w:r>
      <w:r w:rsidRPr="00745FF4">
        <w:rPr>
          <w:rFonts w:ascii="Arial" w:hAnsi="Arial" w:cs="Arial"/>
          <w:sz w:val="24"/>
          <w:szCs w:val="24"/>
        </w:rPr>
        <w:t xml:space="preserve"> the jury requested w</w:t>
      </w:r>
      <w:r w:rsidR="004E014A" w:rsidRPr="00745FF4">
        <w:rPr>
          <w:rFonts w:ascii="Arial" w:hAnsi="Arial" w:cs="Arial"/>
          <w:sz w:val="24"/>
          <w:szCs w:val="24"/>
        </w:rPr>
        <w:t xml:space="preserve">as </w:t>
      </w:r>
      <w:r w:rsidRPr="00745FF4">
        <w:rPr>
          <w:rFonts w:ascii="Arial" w:hAnsi="Arial" w:cs="Arial"/>
          <w:sz w:val="24"/>
          <w:szCs w:val="24"/>
        </w:rPr>
        <w:t>given to them</w:t>
      </w:r>
      <w:r w:rsidR="006D579D" w:rsidRPr="00745FF4">
        <w:rPr>
          <w:rFonts w:ascii="Arial" w:hAnsi="Arial" w:cs="Arial"/>
          <w:sz w:val="24"/>
          <w:szCs w:val="24"/>
        </w:rPr>
        <w:t>;</w:t>
      </w:r>
      <w:r w:rsidRPr="00745FF4">
        <w:rPr>
          <w:rFonts w:ascii="Arial" w:hAnsi="Arial" w:cs="Arial"/>
          <w:sz w:val="24"/>
          <w:szCs w:val="24"/>
        </w:rPr>
        <w:t xml:space="preserve"> and (5) when the jury is next in the courtroom </w:t>
      </w:r>
      <w:r w:rsidR="006E6C78" w:rsidRPr="00745FF4">
        <w:rPr>
          <w:rFonts w:ascii="Arial" w:hAnsi="Arial" w:cs="Arial"/>
          <w:sz w:val="24"/>
          <w:szCs w:val="24"/>
        </w:rPr>
        <w:t xml:space="preserve">on the record </w:t>
      </w:r>
      <w:r w:rsidRPr="00745FF4">
        <w:rPr>
          <w:rFonts w:ascii="Arial" w:hAnsi="Arial" w:cs="Arial"/>
          <w:sz w:val="24"/>
          <w:szCs w:val="24"/>
        </w:rPr>
        <w:t xml:space="preserve">reference the jury’s </w:t>
      </w:r>
      <w:r w:rsidR="006E6C78" w:rsidRPr="00745FF4">
        <w:rPr>
          <w:rFonts w:ascii="Arial" w:hAnsi="Arial" w:cs="Arial"/>
          <w:sz w:val="24"/>
          <w:szCs w:val="24"/>
        </w:rPr>
        <w:t>N</w:t>
      </w:r>
      <w:r w:rsidRPr="00745FF4">
        <w:rPr>
          <w:rFonts w:ascii="Arial" w:hAnsi="Arial" w:cs="Arial"/>
          <w:sz w:val="24"/>
          <w:szCs w:val="24"/>
        </w:rPr>
        <w:t>ote</w:t>
      </w:r>
      <w:r w:rsidR="006E6C78" w:rsidRPr="00745FF4">
        <w:rPr>
          <w:rFonts w:ascii="Arial" w:hAnsi="Arial" w:cs="Arial"/>
          <w:sz w:val="24"/>
          <w:szCs w:val="24"/>
        </w:rPr>
        <w:t>, with its court exhibit number,</w:t>
      </w:r>
      <w:r w:rsidRPr="00745FF4">
        <w:rPr>
          <w:rFonts w:ascii="Arial" w:hAnsi="Arial" w:cs="Arial"/>
          <w:sz w:val="24"/>
          <w:szCs w:val="24"/>
        </w:rPr>
        <w:t xml:space="preserve"> </w:t>
      </w:r>
      <w:r w:rsidR="006E6C78" w:rsidRPr="00745FF4">
        <w:rPr>
          <w:rFonts w:ascii="Arial" w:hAnsi="Arial" w:cs="Arial"/>
          <w:sz w:val="24"/>
          <w:szCs w:val="24"/>
        </w:rPr>
        <w:t xml:space="preserve">read the Note, </w:t>
      </w:r>
      <w:r w:rsidRPr="00745FF4">
        <w:rPr>
          <w:rFonts w:ascii="Arial" w:hAnsi="Arial" w:cs="Arial"/>
          <w:sz w:val="24"/>
          <w:szCs w:val="24"/>
        </w:rPr>
        <w:t xml:space="preserve">and </w:t>
      </w:r>
      <w:r w:rsidR="00AC101E" w:rsidRPr="00745FF4">
        <w:rPr>
          <w:rFonts w:ascii="Arial" w:hAnsi="Arial" w:cs="Arial"/>
          <w:sz w:val="24"/>
          <w:szCs w:val="24"/>
        </w:rPr>
        <w:t>have the</w:t>
      </w:r>
      <w:r w:rsidRPr="00745FF4">
        <w:rPr>
          <w:rFonts w:ascii="Arial" w:hAnsi="Arial" w:cs="Arial"/>
          <w:sz w:val="24"/>
          <w:szCs w:val="24"/>
        </w:rPr>
        <w:t xml:space="preserve"> foreperson</w:t>
      </w:r>
      <w:r w:rsidR="00AC101E" w:rsidRPr="00745FF4">
        <w:rPr>
          <w:rFonts w:ascii="Arial" w:hAnsi="Arial" w:cs="Arial"/>
          <w:sz w:val="24"/>
          <w:szCs w:val="24"/>
        </w:rPr>
        <w:t xml:space="preserve"> confirm receipt of the </w:t>
      </w:r>
      <w:r w:rsidR="009A081C" w:rsidRPr="00745FF4">
        <w:rPr>
          <w:rFonts w:ascii="Arial" w:hAnsi="Arial" w:cs="Arial"/>
          <w:sz w:val="24"/>
          <w:szCs w:val="24"/>
        </w:rPr>
        <w:t>exhi</w:t>
      </w:r>
      <w:r w:rsidR="006E6C78" w:rsidRPr="00745FF4">
        <w:rPr>
          <w:rFonts w:ascii="Arial" w:hAnsi="Arial" w:cs="Arial"/>
          <w:sz w:val="24"/>
          <w:szCs w:val="24"/>
        </w:rPr>
        <w:t>bits the jury had asked for.</w:t>
      </w:r>
    </w:p>
    <w:p w14:paraId="13EF67EF" w14:textId="77777777" w:rsidR="005F269A" w:rsidRPr="00745FF4" w:rsidRDefault="005F269A" w:rsidP="005F269A">
      <w:pPr>
        <w:pStyle w:val="EndnoteText"/>
      </w:pPr>
    </w:p>
  </w:endnote>
  <w:endnote w:id="5">
    <w:p w14:paraId="2D0D4521" w14:textId="7C723E55" w:rsidR="00F56734" w:rsidRPr="00745FF4" w:rsidRDefault="00F56734" w:rsidP="00662D3F">
      <w:pPr>
        <w:pStyle w:val="EndnoteText"/>
        <w:jc w:val="both"/>
        <w:rPr>
          <w:rFonts w:ascii="Arial" w:hAnsi="Arial" w:cs="Arial"/>
          <w:sz w:val="24"/>
          <w:szCs w:val="24"/>
        </w:rPr>
      </w:pPr>
      <w:r w:rsidRPr="00745FF4">
        <w:rPr>
          <w:rStyle w:val="EndnoteReference"/>
        </w:rPr>
        <w:endnoteRef/>
      </w:r>
      <w:r w:rsidRPr="00745FF4">
        <w:t xml:space="preserve">  </w:t>
      </w:r>
      <w:r w:rsidR="001630A4" w:rsidRPr="00745FF4">
        <w:t xml:space="preserve"> </w:t>
      </w:r>
      <w:r w:rsidRPr="00745FF4">
        <w:rPr>
          <w:rFonts w:ascii="Arial" w:hAnsi="Arial" w:cs="Arial"/>
          <w:sz w:val="24"/>
          <w:szCs w:val="24"/>
        </w:rPr>
        <w:t>When a response to the Note relates to a question of law or a readback of the</w:t>
      </w:r>
      <w:r w:rsidR="00662D3F" w:rsidRPr="00745FF4">
        <w:rPr>
          <w:rFonts w:ascii="Arial" w:hAnsi="Arial" w:cs="Arial"/>
          <w:sz w:val="24"/>
          <w:szCs w:val="24"/>
        </w:rPr>
        <w:t xml:space="preserve"> testimony of a witness</w:t>
      </w:r>
      <w:r w:rsidRPr="00745FF4">
        <w:rPr>
          <w:rFonts w:ascii="Arial" w:hAnsi="Arial" w:cs="Arial"/>
          <w:sz w:val="24"/>
          <w:szCs w:val="24"/>
        </w:rPr>
        <w:t>, a trial court may show the Note to the lawyers and consult with them off-the-record on how to respond and then proceed on the record, acknowledging on the record that the off-the-record conference took place and what transpired</w:t>
      </w:r>
      <w:r w:rsidR="00902B71" w:rsidRPr="00745FF4">
        <w:rPr>
          <w:rFonts w:ascii="Arial" w:hAnsi="Arial" w:cs="Arial"/>
          <w:sz w:val="24"/>
          <w:szCs w:val="24"/>
        </w:rPr>
        <w:t xml:space="preserve"> and </w:t>
      </w:r>
      <w:r w:rsidR="00FC7137" w:rsidRPr="00745FF4">
        <w:rPr>
          <w:rFonts w:ascii="Arial" w:hAnsi="Arial" w:cs="Arial"/>
          <w:sz w:val="24"/>
          <w:szCs w:val="24"/>
        </w:rPr>
        <w:t xml:space="preserve">then </w:t>
      </w:r>
      <w:r w:rsidR="00902B71" w:rsidRPr="00745FF4">
        <w:rPr>
          <w:rFonts w:ascii="Arial" w:hAnsi="Arial" w:cs="Arial"/>
          <w:sz w:val="24"/>
          <w:szCs w:val="24"/>
        </w:rPr>
        <w:t>permitting the parties</w:t>
      </w:r>
      <w:r w:rsidR="00D6747A" w:rsidRPr="00745FF4">
        <w:rPr>
          <w:rFonts w:ascii="Arial" w:hAnsi="Arial" w:cs="Arial"/>
          <w:sz w:val="24"/>
          <w:szCs w:val="24"/>
        </w:rPr>
        <w:t>,</w:t>
      </w:r>
      <w:r w:rsidR="00902B71" w:rsidRPr="00745FF4">
        <w:rPr>
          <w:rFonts w:ascii="Arial" w:hAnsi="Arial" w:cs="Arial"/>
          <w:sz w:val="24"/>
          <w:szCs w:val="24"/>
        </w:rPr>
        <w:t xml:space="preserve"> </w:t>
      </w:r>
      <w:r w:rsidR="00D6747A" w:rsidRPr="00745FF4">
        <w:rPr>
          <w:rFonts w:ascii="Arial" w:hAnsi="Arial" w:cs="Arial"/>
          <w:sz w:val="24"/>
          <w:szCs w:val="24"/>
        </w:rPr>
        <w:t>upon</w:t>
      </w:r>
      <w:r w:rsidR="00902B71" w:rsidRPr="00745FF4">
        <w:rPr>
          <w:rFonts w:ascii="Arial" w:hAnsi="Arial" w:cs="Arial"/>
          <w:sz w:val="24"/>
          <w:szCs w:val="24"/>
        </w:rPr>
        <w:t xml:space="preserve"> request</w:t>
      </w:r>
      <w:r w:rsidR="00D6747A" w:rsidRPr="00745FF4">
        <w:rPr>
          <w:rFonts w:ascii="Arial" w:hAnsi="Arial" w:cs="Arial"/>
          <w:sz w:val="24"/>
          <w:szCs w:val="24"/>
        </w:rPr>
        <w:t>,</w:t>
      </w:r>
      <w:r w:rsidR="00902B71" w:rsidRPr="00745FF4">
        <w:rPr>
          <w:rFonts w:ascii="Arial" w:hAnsi="Arial" w:cs="Arial"/>
          <w:sz w:val="24"/>
          <w:szCs w:val="24"/>
        </w:rPr>
        <w:t xml:space="preserve"> to </w:t>
      </w:r>
      <w:r w:rsidR="00FC7137" w:rsidRPr="00745FF4">
        <w:rPr>
          <w:rFonts w:ascii="Arial" w:hAnsi="Arial" w:cs="Arial"/>
          <w:sz w:val="24"/>
          <w:szCs w:val="24"/>
        </w:rPr>
        <w:t>state</w:t>
      </w:r>
      <w:r w:rsidR="00D6747A" w:rsidRPr="00745FF4">
        <w:rPr>
          <w:rFonts w:ascii="Arial" w:hAnsi="Arial" w:cs="Arial"/>
          <w:sz w:val="24"/>
          <w:szCs w:val="24"/>
        </w:rPr>
        <w:t xml:space="preserve"> or explain</w:t>
      </w:r>
      <w:r w:rsidR="00FC7137" w:rsidRPr="00745FF4">
        <w:rPr>
          <w:rFonts w:ascii="Arial" w:hAnsi="Arial" w:cs="Arial"/>
          <w:sz w:val="24"/>
          <w:szCs w:val="24"/>
        </w:rPr>
        <w:t xml:space="preserve"> their positions for the record.</w:t>
      </w:r>
    </w:p>
    <w:p w14:paraId="61A01ADD" w14:textId="6DDF5B6F" w:rsidR="00183315" w:rsidRPr="00745FF4" w:rsidRDefault="00F82A31" w:rsidP="00662D3F">
      <w:pPr>
        <w:pStyle w:val="EndnoteText"/>
        <w:jc w:val="both"/>
        <w:rPr>
          <w:rFonts w:ascii="Arial" w:hAnsi="Arial" w:cs="Arial"/>
          <w:sz w:val="24"/>
          <w:szCs w:val="24"/>
        </w:rPr>
      </w:pPr>
      <w:r w:rsidRPr="00745FF4">
        <w:rPr>
          <w:rFonts w:ascii="Arial" w:hAnsi="Arial" w:cs="Arial"/>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06124" w14:textId="77777777" w:rsidR="00CB5949" w:rsidRDefault="00CB5949" w:rsidP="004607FA">
      <w:pPr>
        <w:spacing w:after="0" w:line="240" w:lineRule="auto"/>
      </w:pPr>
      <w:r>
        <w:separator/>
      </w:r>
    </w:p>
  </w:footnote>
  <w:footnote w:type="continuationSeparator" w:id="0">
    <w:p w14:paraId="46D74A56" w14:textId="77777777" w:rsidR="00CB5949" w:rsidRDefault="00CB5949" w:rsidP="004607FA">
      <w:pPr>
        <w:spacing w:after="0" w:line="240" w:lineRule="auto"/>
      </w:pPr>
      <w:r>
        <w:continuationSeparator/>
      </w:r>
    </w:p>
  </w:footnote>
  <w:footnote w:type="continuationNotice" w:id="1">
    <w:p w14:paraId="0CF490DD" w14:textId="77777777" w:rsidR="00CB5949" w:rsidRDefault="00CB594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12D7A"/>
    <w:multiLevelType w:val="hybridMultilevel"/>
    <w:tmpl w:val="A0A2F106"/>
    <w:lvl w:ilvl="0" w:tplc="02327242">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rawingGridVerticalSpacing w:val="299"/>
  <w:displayHorizontalDrawingGridEvery w:val="2"/>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638"/>
    <w:rsid w:val="00006BF4"/>
    <w:rsid w:val="000238C8"/>
    <w:rsid w:val="0003129E"/>
    <w:rsid w:val="00035EBE"/>
    <w:rsid w:val="00040DED"/>
    <w:rsid w:val="00043210"/>
    <w:rsid w:val="00046735"/>
    <w:rsid w:val="00055219"/>
    <w:rsid w:val="00062F76"/>
    <w:rsid w:val="00064380"/>
    <w:rsid w:val="000667D9"/>
    <w:rsid w:val="00070C4E"/>
    <w:rsid w:val="000866D3"/>
    <w:rsid w:val="00092877"/>
    <w:rsid w:val="00092CBA"/>
    <w:rsid w:val="000A1273"/>
    <w:rsid w:val="000B07EA"/>
    <w:rsid w:val="000B225A"/>
    <w:rsid w:val="000B22FC"/>
    <w:rsid w:val="000C7129"/>
    <w:rsid w:val="000D4DD6"/>
    <w:rsid w:val="000F0217"/>
    <w:rsid w:val="000F0AC2"/>
    <w:rsid w:val="000F20E1"/>
    <w:rsid w:val="000F23BF"/>
    <w:rsid w:val="001448AE"/>
    <w:rsid w:val="001630A4"/>
    <w:rsid w:val="0017542C"/>
    <w:rsid w:val="00177057"/>
    <w:rsid w:val="00182378"/>
    <w:rsid w:val="00183315"/>
    <w:rsid w:val="001842DD"/>
    <w:rsid w:val="00185F0F"/>
    <w:rsid w:val="001A0F1F"/>
    <w:rsid w:val="001A1B8A"/>
    <w:rsid w:val="001A401F"/>
    <w:rsid w:val="001A7706"/>
    <w:rsid w:val="001B1598"/>
    <w:rsid w:val="001D6A9C"/>
    <w:rsid w:val="001E4737"/>
    <w:rsid w:val="002106DB"/>
    <w:rsid w:val="00226F8E"/>
    <w:rsid w:val="00227EB1"/>
    <w:rsid w:val="0024054B"/>
    <w:rsid w:val="00247362"/>
    <w:rsid w:val="00251582"/>
    <w:rsid w:val="0028052A"/>
    <w:rsid w:val="002826BC"/>
    <w:rsid w:val="002A45C5"/>
    <w:rsid w:val="002A720E"/>
    <w:rsid w:val="002B2785"/>
    <w:rsid w:val="002B662E"/>
    <w:rsid w:val="002C5379"/>
    <w:rsid w:val="002D5773"/>
    <w:rsid w:val="003004CD"/>
    <w:rsid w:val="003144CE"/>
    <w:rsid w:val="00317201"/>
    <w:rsid w:val="00331B01"/>
    <w:rsid w:val="003353DE"/>
    <w:rsid w:val="003368FC"/>
    <w:rsid w:val="00373F99"/>
    <w:rsid w:val="00384AE8"/>
    <w:rsid w:val="00387845"/>
    <w:rsid w:val="003B61C2"/>
    <w:rsid w:val="003B7523"/>
    <w:rsid w:val="003C04FF"/>
    <w:rsid w:val="003C4574"/>
    <w:rsid w:val="003C5345"/>
    <w:rsid w:val="003E0F80"/>
    <w:rsid w:val="003E6A5C"/>
    <w:rsid w:val="003E7473"/>
    <w:rsid w:val="004014D8"/>
    <w:rsid w:val="00401E17"/>
    <w:rsid w:val="00415237"/>
    <w:rsid w:val="00422020"/>
    <w:rsid w:val="004227BB"/>
    <w:rsid w:val="00434D6F"/>
    <w:rsid w:val="0044307E"/>
    <w:rsid w:val="00443D5E"/>
    <w:rsid w:val="00446B59"/>
    <w:rsid w:val="004607FA"/>
    <w:rsid w:val="004644E1"/>
    <w:rsid w:val="004672A5"/>
    <w:rsid w:val="0047722F"/>
    <w:rsid w:val="00487DDC"/>
    <w:rsid w:val="00494560"/>
    <w:rsid w:val="004B1FBB"/>
    <w:rsid w:val="004C54A8"/>
    <w:rsid w:val="004E014A"/>
    <w:rsid w:val="004E1677"/>
    <w:rsid w:val="004F69D6"/>
    <w:rsid w:val="005003EA"/>
    <w:rsid w:val="0052185B"/>
    <w:rsid w:val="00544638"/>
    <w:rsid w:val="00545CB1"/>
    <w:rsid w:val="00552A12"/>
    <w:rsid w:val="00554770"/>
    <w:rsid w:val="00556417"/>
    <w:rsid w:val="00561067"/>
    <w:rsid w:val="00585A76"/>
    <w:rsid w:val="00586B93"/>
    <w:rsid w:val="00593C87"/>
    <w:rsid w:val="00593E3E"/>
    <w:rsid w:val="00596C8A"/>
    <w:rsid w:val="005A45F0"/>
    <w:rsid w:val="005B22B5"/>
    <w:rsid w:val="005B39BC"/>
    <w:rsid w:val="005B56A1"/>
    <w:rsid w:val="005C5906"/>
    <w:rsid w:val="005F269A"/>
    <w:rsid w:val="005F2AB3"/>
    <w:rsid w:val="005F75F2"/>
    <w:rsid w:val="006015CF"/>
    <w:rsid w:val="0060654D"/>
    <w:rsid w:val="006132CD"/>
    <w:rsid w:val="00642746"/>
    <w:rsid w:val="0064384B"/>
    <w:rsid w:val="00647795"/>
    <w:rsid w:val="00652A33"/>
    <w:rsid w:val="00662D3F"/>
    <w:rsid w:val="00683007"/>
    <w:rsid w:val="006A5022"/>
    <w:rsid w:val="006A5488"/>
    <w:rsid w:val="006A5874"/>
    <w:rsid w:val="006B0A98"/>
    <w:rsid w:val="006B7D17"/>
    <w:rsid w:val="006C3B3F"/>
    <w:rsid w:val="006C62BE"/>
    <w:rsid w:val="006C7760"/>
    <w:rsid w:val="006D579D"/>
    <w:rsid w:val="006D5D3A"/>
    <w:rsid w:val="006E0827"/>
    <w:rsid w:val="006E5C72"/>
    <w:rsid w:val="006E6C78"/>
    <w:rsid w:val="007055D2"/>
    <w:rsid w:val="0071277A"/>
    <w:rsid w:val="00712A8F"/>
    <w:rsid w:val="007174B1"/>
    <w:rsid w:val="007351C7"/>
    <w:rsid w:val="00745FF4"/>
    <w:rsid w:val="0076628A"/>
    <w:rsid w:val="0078105C"/>
    <w:rsid w:val="007B5346"/>
    <w:rsid w:val="007B6F06"/>
    <w:rsid w:val="007C1F94"/>
    <w:rsid w:val="007C2C31"/>
    <w:rsid w:val="007C4047"/>
    <w:rsid w:val="007D0E0D"/>
    <w:rsid w:val="007D0E70"/>
    <w:rsid w:val="007D203A"/>
    <w:rsid w:val="007D6CBD"/>
    <w:rsid w:val="007F1186"/>
    <w:rsid w:val="00805583"/>
    <w:rsid w:val="00813C25"/>
    <w:rsid w:val="008265E0"/>
    <w:rsid w:val="0082765D"/>
    <w:rsid w:val="008320BF"/>
    <w:rsid w:val="00836462"/>
    <w:rsid w:val="00847A83"/>
    <w:rsid w:val="00851E68"/>
    <w:rsid w:val="00853659"/>
    <w:rsid w:val="00855DD5"/>
    <w:rsid w:val="00861ACD"/>
    <w:rsid w:val="00870CB6"/>
    <w:rsid w:val="008818CA"/>
    <w:rsid w:val="0088796F"/>
    <w:rsid w:val="0089475B"/>
    <w:rsid w:val="008A6E1A"/>
    <w:rsid w:val="008B6542"/>
    <w:rsid w:val="008D13FA"/>
    <w:rsid w:val="008D474C"/>
    <w:rsid w:val="008E1E3A"/>
    <w:rsid w:val="008E4454"/>
    <w:rsid w:val="008E557B"/>
    <w:rsid w:val="008F451F"/>
    <w:rsid w:val="008F6C6D"/>
    <w:rsid w:val="008F7B1B"/>
    <w:rsid w:val="00902B71"/>
    <w:rsid w:val="009047ED"/>
    <w:rsid w:val="00906AFB"/>
    <w:rsid w:val="00923F75"/>
    <w:rsid w:val="009318BE"/>
    <w:rsid w:val="009344CC"/>
    <w:rsid w:val="00942E24"/>
    <w:rsid w:val="00951721"/>
    <w:rsid w:val="009523A3"/>
    <w:rsid w:val="00952D65"/>
    <w:rsid w:val="009555B2"/>
    <w:rsid w:val="00970409"/>
    <w:rsid w:val="00986A2E"/>
    <w:rsid w:val="00987518"/>
    <w:rsid w:val="00997FED"/>
    <w:rsid w:val="009A081C"/>
    <w:rsid w:val="009B345C"/>
    <w:rsid w:val="009B35D3"/>
    <w:rsid w:val="009C034D"/>
    <w:rsid w:val="009D7464"/>
    <w:rsid w:val="009F1308"/>
    <w:rsid w:val="00A0746D"/>
    <w:rsid w:val="00A27E8E"/>
    <w:rsid w:val="00A352E7"/>
    <w:rsid w:val="00A4766D"/>
    <w:rsid w:val="00A53818"/>
    <w:rsid w:val="00A57E5C"/>
    <w:rsid w:val="00A721C3"/>
    <w:rsid w:val="00A777F8"/>
    <w:rsid w:val="00A800B9"/>
    <w:rsid w:val="00A93AD0"/>
    <w:rsid w:val="00A95734"/>
    <w:rsid w:val="00A97A12"/>
    <w:rsid w:val="00AA3B3D"/>
    <w:rsid w:val="00AC101E"/>
    <w:rsid w:val="00AD2009"/>
    <w:rsid w:val="00AD4687"/>
    <w:rsid w:val="00AE1EE6"/>
    <w:rsid w:val="00AE617D"/>
    <w:rsid w:val="00B03CFB"/>
    <w:rsid w:val="00B0643A"/>
    <w:rsid w:val="00B17109"/>
    <w:rsid w:val="00B21C9C"/>
    <w:rsid w:val="00B2273F"/>
    <w:rsid w:val="00B2678F"/>
    <w:rsid w:val="00B3037F"/>
    <w:rsid w:val="00B30904"/>
    <w:rsid w:val="00B429CA"/>
    <w:rsid w:val="00B42C86"/>
    <w:rsid w:val="00B4479F"/>
    <w:rsid w:val="00B474BC"/>
    <w:rsid w:val="00B53838"/>
    <w:rsid w:val="00B573E7"/>
    <w:rsid w:val="00B66B63"/>
    <w:rsid w:val="00B72CC7"/>
    <w:rsid w:val="00B82E41"/>
    <w:rsid w:val="00B904C5"/>
    <w:rsid w:val="00B90A92"/>
    <w:rsid w:val="00BA429D"/>
    <w:rsid w:val="00BC51EE"/>
    <w:rsid w:val="00BD670E"/>
    <w:rsid w:val="00BE6534"/>
    <w:rsid w:val="00BF0ED0"/>
    <w:rsid w:val="00BF1737"/>
    <w:rsid w:val="00BF271C"/>
    <w:rsid w:val="00C03065"/>
    <w:rsid w:val="00C15E7A"/>
    <w:rsid w:val="00C25ED1"/>
    <w:rsid w:val="00C30853"/>
    <w:rsid w:val="00C30E91"/>
    <w:rsid w:val="00C44769"/>
    <w:rsid w:val="00C86422"/>
    <w:rsid w:val="00C927BA"/>
    <w:rsid w:val="00C96FCB"/>
    <w:rsid w:val="00CA0DBC"/>
    <w:rsid w:val="00CB4953"/>
    <w:rsid w:val="00CB5949"/>
    <w:rsid w:val="00CC51D7"/>
    <w:rsid w:val="00CD062F"/>
    <w:rsid w:val="00CD1C64"/>
    <w:rsid w:val="00CD212B"/>
    <w:rsid w:val="00CE49D1"/>
    <w:rsid w:val="00CE4B3D"/>
    <w:rsid w:val="00CE5C60"/>
    <w:rsid w:val="00CF2494"/>
    <w:rsid w:val="00CF7403"/>
    <w:rsid w:val="00D144B7"/>
    <w:rsid w:val="00D16D81"/>
    <w:rsid w:val="00D2282E"/>
    <w:rsid w:val="00D33675"/>
    <w:rsid w:val="00D367F8"/>
    <w:rsid w:val="00D42107"/>
    <w:rsid w:val="00D470BB"/>
    <w:rsid w:val="00D56ADA"/>
    <w:rsid w:val="00D60E1E"/>
    <w:rsid w:val="00D65658"/>
    <w:rsid w:val="00D6747A"/>
    <w:rsid w:val="00D711D3"/>
    <w:rsid w:val="00D76D45"/>
    <w:rsid w:val="00D77E72"/>
    <w:rsid w:val="00D80ACF"/>
    <w:rsid w:val="00D84776"/>
    <w:rsid w:val="00DA5602"/>
    <w:rsid w:val="00DA70B0"/>
    <w:rsid w:val="00DB350E"/>
    <w:rsid w:val="00DC2914"/>
    <w:rsid w:val="00DC53FF"/>
    <w:rsid w:val="00DC6B9F"/>
    <w:rsid w:val="00DF37A4"/>
    <w:rsid w:val="00DF3C40"/>
    <w:rsid w:val="00E030C5"/>
    <w:rsid w:val="00E1007A"/>
    <w:rsid w:val="00E25E20"/>
    <w:rsid w:val="00E33F64"/>
    <w:rsid w:val="00E33FFB"/>
    <w:rsid w:val="00E35D53"/>
    <w:rsid w:val="00E454CB"/>
    <w:rsid w:val="00E45DA1"/>
    <w:rsid w:val="00E51110"/>
    <w:rsid w:val="00E51AF5"/>
    <w:rsid w:val="00E83363"/>
    <w:rsid w:val="00E86225"/>
    <w:rsid w:val="00E90373"/>
    <w:rsid w:val="00E943E0"/>
    <w:rsid w:val="00E95EB6"/>
    <w:rsid w:val="00EA3C49"/>
    <w:rsid w:val="00EA480A"/>
    <w:rsid w:val="00EB07D7"/>
    <w:rsid w:val="00EB4174"/>
    <w:rsid w:val="00EB4621"/>
    <w:rsid w:val="00EB5F67"/>
    <w:rsid w:val="00EB618D"/>
    <w:rsid w:val="00ED23B7"/>
    <w:rsid w:val="00ED32C0"/>
    <w:rsid w:val="00EE7792"/>
    <w:rsid w:val="00EF402C"/>
    <w:rsid w:val="00EF43DA"/>
    <w:rsid w:val="00F03A73"/>
    <w:rsid w:val="00F05698"/>
    <w:rsid w:val="00F152C5"/>
    <w:rsid w:val="00F153A5"/>
    <w:rsid w:val="00F24039"/>
    <w:rsid w:val="00F34C46"/>
    <w:rsid w:val="00F34FBD"/>
    <w:rsid w:val="00F36CD1"/>
    <w:rsid w:val="00F3795B"/>
    <w:rsid w:val="00F456C0"/>
    <w:rsid w:val="00F4596E"/>
    <w:rsid w:val="00F53674"/>
    <w:rsid w:val="00F56734"/>
    <w:rsid w:val="00F71544"/>
    <w:rsid w:val="00F71C0B"/>
    <w:rsid w:val="00F71FE7"/>
    <w:rsid w:val="00F810B9"/>
    <w:rsid w:val="00F81FC3"/>
    <w:rsid w:val="00F82A31"/>
    <w:rsid w:val="00F84E48"/>
    <w:rsid w:val="00F85538"/>
    <w:rsid w:val="00FA0A6C"/>
    <w:rsid w:val="00FB1E4D"/>
    <w:rsid w:val="00FB29BA"/>
    <w:rsid w:val="00FB41DD"/>
    <w:rsid w:val="00FC0439"/>
    <w:rsid w:val="00FC7137"/>
    <w:rsid w:val="00FD633A"/>
    <w:rsid w:val="00FE0FBB"/>
    <w:rsid w:val="00FF0071"/>
    <w:rsid w:val="00FF06EF"/>
    <w:rsid w:val="00FF1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4E9E6"/>
  <w15:chartTrackingRefBased/>
  <w15:docId w15:val="{7ED9D10B-8240-44FA-ACCF-E5DDBFD7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607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07FA"/>
    <w:rPr>
      <w:sz w:val="20"/>
      <w:szCs w:val="20"/>
    </w:rPr>
  </w:style>
  <w:style w:type="character" w:styleId="EndnoteReference">
    <w:name w:val="endnote reference"/>
    <w:basedOn w:val="DefaultParagraphFont"/>
    <w:uiPriority w:val="99"/>
    <w:semiHidden/>
    <w:unhideWhenUsed/>
    <w:rsid w:val="004607FA"/>
    <w:rPr>
      <w:vertAlign w:val="superscript"/>
    </w:rPr>
  </w:style>
  <w:style w:type="paragraph" w:styleId="ListParagraph">
    <w:name w:val="List Paragraph"/>
    <w:basedOn w:val="Normal"/>
    <w:uiPriority w:val="34"/>
    <w:qFormat/>
    <w:rsid w:val="004607FA"/>
    <w:pPr>
      <w:ind w:left="720"/>
      <w:contextualSpacing/>
    </w:pPr>
  </w:style>
  <w:style w:type="paragraph" w:styleId="Header">
    <w:name w:val="header"/>
    <w:basedOn w:val="Normal"/>
    <w:link w:val="HeaderChar"/>
    <w:uiPriority w:val="99"/>
    <w:semiHidden/>
    <w:unhideWhenUsed/>
    <w:rsid w:val="00A721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21C3"/>
  </w:style>
  <w:style w:type="paragraph" w:styleId="Footer">
    <w:name w:val="footer"/>
    <w:basedOn w:val="Normal"/>
    <w:link w:val="FooterChar"/>
    <w:uiPriority w:val="99"/>
    <w:semiHidden/>
    <w:unhideWhenUsed/>
    <w:rsid w:val="00A721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21C3"/>
  </w:style>
  <w:style w:type="character" w:styleId="Hyperlink">
    <w:name w:val="Hyperlink"/>
    <w:basedOn w:val="DefaultParagraphFont"/>
    <w:uiPriority w:val="99"/>
    <w:unhideWhenUsed/>
    <w:rsid w:val="00C44769"/>
    <w:rPr>
      <w:color w:val="0563C1" w:themeColor="hyperlink"/>
      <w:u w:val="single"/>
    </w:rPr>
  </w:style>
  <w:style w:type="character" w:styleId="UnresolvedMention">
    <w:name w:val="Unresolved Mention"/>
    <w:basedOn w:val="DefaultParagraphFont"/>
    <w:uiPriority w:val="99"/>
    <w:semiHidden/>
    <w:unhideWhenUsed/>
    <w:rsid w:val="00C44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818704">
      <w:bodyDiv w:val="1"/>
      <w:marLeft w:val="0"/>
      <w:marRight w:val="0"/>
      <w:marTop w:val="0"/>
      <w:marBottom w:val="0"/>
      <w:divBdr>
        <w:top w:val="none" w:sz="0" w:space="0" w:color="auto"/>
        <w:left w:val="none" w:sz="0" w:space="0" w:color="auto"/>
        <w:bottom w:val="none" w:sz="0" w:space="0" w:color="auto"/>
        <w:right w:val="none" w:sz="0" w:space="0" w:color="auto"/>
      </w:divBdr>
    </w:div>
    <w:div w:id="416679445">
      <w:bodyDiv w:val="1"/>
      <w:marLeft w:val="0"/>
      <w:marRight w:val="0"/>
      <w:marTop w:val="0"/>
      <w:marBottom w:val="0"/>
      <w:divBdr>
        <w:top w:val="none" w:sz="0" w:space="0" w:color="auto"/>
        <w:left w:val="none" w:sz="0" w:space="0" w:color="auto"/>
        <w:bottom w:val="none" w:sz="0" w:space="0" w:color="auto"/>
        <w:right w:val="none" w:sz="0" w:space="0" w:color="auto"/>
      </w:divBdr>
      <w:divsChild>
        <w:div w:id="24141074">
          <w:marLeft w:val="0"/>
          <w:marRight w:val="0"/>
          <w:marTop w:val="0"/>
          <w:marBottom w:val="0"/>
          <w:divBdr>
            <w:top w:val="none" w:sz="0" w:space="0" w:color="auto"/>
            <w:left w:val="none" w:sz="0" w:space="0" w:color="auto"/>
            <w:bottom w:val="none" w:sz="0" w:space="0" w:color="auto"/>
            <w:right w:val="none" w:sz="0" w:space="0" w:color="auto"/>
          </w:divBdr>
          <w:divsChild>
            <w:div w:id="683241283">
              <w:marLeft w:val="0"/>
              <w:marRight w:val="0"/>
              <w:marTop w:val="0"/>
              <w:marBottom w:val="0"/>
              <w:divBdr>
                <w:top w:val="none" w:sz="0" w:space="0" w:color="auto"/>
                <w:left w:val="none" w:sz="0" w:space="0" w:color="auto"/>
                <w:bottom w:val="none" w:sz="0" w:space="0" w:color="auto"/>
                <w:right w:val="none" w:sz="0" w:space="0" w:color="auto"/>
              </w:divBdr>
              <w:divsChild>
                <w:div w:id="13140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6925">
      <w:bodyDiv w:val="1"/>
      <w:marLeft w:val="0"/>
      <w:marRight w:val="0"/>
      <w:marTop w:val="0"/>
      <w:marBottom w:val="0"/>
      <w:divBdr>
        <w:top w:val="none" w:sz="0" w:space="0" w:color="auto"/>
        <w:left w:val="none" w:sz="0" w:space="0" w:color="auto"/>
        <w:bottom w:val="none" w:sz="0" w:space="0" w:color="auto"/>
        <w:right w:val="none" w:sz="0" w:space="0" w:color="auto"/>
      </w:divBdr>
    </w:div>
    <w:div w:id="854806704">
      <w:bodyDiv w:val="1"/>
      <w:marLeft w:val="0"/>
      <w:marRight w:val="0"/>
      <w:marTop w:val="0"/>
      <w:marBottom w:val="0"/>
      <w:divBdr>
        <w:top w:val="none" w:sz="0" w:space="0" w:color="auto"/>
        <w:left w:val="none" w:sz="0" w:space="0" w:color="auto"/>
        <w:bottom w:val="none" w:sz="0" w:space="0" w:color="auto"/>
        <w:right w:val="none" w:sz="0" w:space="0" w:color="auto"/>
      </w:divBdr>
      <w:divsChild>
        <w:div w:id="1878002500">
          <w:marLeft w:val="0"/>
          <w:marRight w:val="0"/>
          <w:marTop w:val="0"/>
          <w:marBottom w:val="0"/>
          <w:divBdr>
            <w:top w:val="none" w:sz="0" w:space="0" w:color="auto"/>
            <w:left w:val="none" w:sz="0" w:space="0" w:color="auto"/>
            <w:bottom w:val="none" w:sz="0" w:space="0" w:color="auto"/>
            <w:right w:val="none" w:sz="0" w:space="0" w:color="auto"/>
          </w:divBdr>
          <w:divsChild>
            <w:div w:id="1308165327">
              <w:marLeft w:val="0"/>
              <w:marRight w:val="0"/>
              <w:marTop w:val="0"/>
              <w:marBottom w:val="0"/>
              <w:divBdr>
                <w:top w:val="none" w:sz="0" w:space="0" w:color="auto"/>
                <w:left w:val="none" w:sz="0" w:space="0" w:color="auto"/>
                <w:bottom w:val="none" w:sz="0" w:space="0" w:color="auto"/>
                <w:right w:val="none" w:sz="0" w:space="0" w:color="auto"/>
              </w:divBdr>
              <w:divsChild>
                <w:div w:id="166685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085770">
      <w:bodyDiv w:val="1"/>
      <w:marLeft w:val="0"/>
      <w:marRight w:val="0"/>
      <w:marTop w:val="0"/>
      <w:marBottom w:val="0"/>
      <w:divBdr>
        <w:top w:val="none" w:sz="0" w:space="0" w:color="auto"/>
        <w:left w:val="none" w:sz="0" w:space="0" w:color="auto"/>
        <w:bottom w:val="none" w:sz="0" w:space="0" w:color="auto"/>
        <w:right w:val="none" w:sz="0" w:space="0" w:color="auto"/>
      </w:divBdr>
      <w:divsChild>
        <w:div w:id="1968269281">
          <w:marLeft w:val="0"/>
          <w:marRight w:val="0"/>
          <w:marTop w:val="0"/>
          <w:marBottom w:val="0"/>
          <w:divBdr>
            <w:top w:val="none" w:sz="0" w:space="0" w:color="auto"/>
            <w:left w:val="none" w:sz="0" w:space="0" w:color="auto"/>
            <w:bottom w:val="none" w:sz="0" w:space="0" w:color="auto"/>
            <w:right w:val="none" w:sz="0" w:space="0" w:color="auto"/>
          </w:divBdr>
          <w:divsChild>
            <w:div w:id="740298202">
              <w:marLeft w:val="0"/>
              <w:marRight w:val="0"/>
              <w:marTop w:val="0"/>
              <w:marBottom w:val="0"/>
              <w:divBdr>
                <w:top w:val="none" w:sz="0" w:space="0" w:color="auto"/>
                <w:left w:val="none" w:sz="0" w:space="0" w:color="auto"/>
                <w:bottom w:val="none" w:sz="0" w:space="0" w:color="auto"/>
                <w:right w:val="none" w:sz="0" w:space="0" w:color="auto"/>
              </w:divBdr>
              <w:divsChild>
                <w:div w:id="13833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5917">
      <w:bodyDiv w:val="1"/>
      <w:marLeft w:val="0"/>
      <w:marRight w:val="0"/>
      <w:marTop w:val="0"/>
      <w:marBottom w:val="0"/>
      <w:divBdr>
        <w:top w:val="none" w:sz="0" w:space="0" w:color="auto"/>
        <w:left w:val="none" w:sz="0" w:space="0" w:color="auto"/>
        <w:bottom w:val="none" w:sz="0" w:space="0" w:color="auto"/>
        <w:right w:val="none" w:sz="0" w:space="0" w:color="auto"/>
      </w:divBdr>
    </w:div>
    <w:div w:id="1494376485">
      <w:bodyDiv w:val="1"/>
      <w:marLeft w:val="0"/>
      <w:marRight w:val="0"/>
      <w:marTop w:val="0"/>
      <w:marBottom w:val="0"/>
      <w:divBdr>
        <w:top w:val="none" w:sz="0" w:space="0" w:color="auto"/>
        <w:left w:val="none" w:sz="0" w:space="0" w:color="auto"/>
        <w:bottom w:val="none" w:sz="0" w:space="0" w:color="auto"/>
        <w:right w:val="none" w:sz="0" w:space="0" w:color="auto"/>
      </w:divBdr>
      <w:divsChild>
        <w:div w:id="308902196">
          <w:marLeft w:val="0"/>
          <w:marRight w:val="0"/>
          <w:marTop w:val="0"/>
          <w:marBottom w:val="0"/>
          <w:divBdr>
            <w:top w:val="none" w:sz="0" w:space="0" w:color="auto"/>
            <w:left w:val="none" w:sz="0" w:space="0" w:color="auto"/>
            <w:bottom w:val="none" w:sz="0" w:space="0" w:color="auto"/>
            <w:right w:val="none" w:sz="0" w:space="0" w:color="auto"/>
          </w:divBdr>
          <w:divsChild>
            <w:div w:id="572662790">
              <w:marLeft w:val="0"/>
              <w:marRight w:val="0"/>
              <w:marTop w:val="0"/>
              <w:marBottom w:val="0"/>
              <w:divBdr>
                <w:top w:val="none" w:sz="0" w:space="0" w:color="auto"/>
                <w:left w:val="none" w:sz="0" w:space="0" w:color="auto"/>
                <w:bottom w:val="none" w:sz="0" w:space="0" w:color="auto"/>
                <w:right w:val="none" w:sz="0" w:space="0" w:color="auto"/>
              </w:divBdr>
              <w:divsChild>
                <w:div w:id="14927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844083">
      <w:bodyDiv w:val="1"/>
      <w:marLeft w:val="0"/>
      <w:marRight w:val="0"/>
      <w:marTop w:val="0"/>
      <w:marBottom w:val="0"/>
      <w:divBdr>
        <w:top w:val="none" w:sz="0" w:space="0" w:color="auto"/>
        <w:left w:val="none" w:sz="0" w:space="0" w:color="auto"/>
        <w:bottom w:val="none" w:sz="0" w:space="0" w:color="auto"/>
        <w:right w:val="none" w:sz="0" w:space="0" w:color="auto"/>
      </w:divBdr>
      <w:divsChild>
        <w:div w:id="1537768279">
          <w:marLeft w:val="0"/>
          <w:marRight w:val="0"/>
          <w:marTop w:val="0"/>
          <w:marBottom w:val="0"/>
          <w:divBdr>
            <w:top w:val="none" w:sz="0" w:space="0" w:color="auto"/>
            <w:left w:val="none" w:sz="0" w:space="0" w:color="auto"/>
            <w:bottom w:val="none" w:sz="0" w:space="0" w:color="auto"/>
            <w:right w:val="none" w:sz="0" w:space="0" w:color="auto"/>
          </w:divBdr>
          <w:divsChild>
            <w:div w:id="767236090">
              <w:marLeft w:val="0"/>
              <w:marRight w:val="0"/>
              <w:marTop w:val="0"/>
              <w:marBottom w:val="0"/>
              <w:divBdr>
                <w:top w:val="none" w:sz="0" w:space="0" w:color="auto"/>
                <w:left w:val="none" w:sz="0" w:space="0" w:color="auto"/>
                <w:bottom w:val="none" w:sz="0" w:space="0" w:color="auto"/>
                <w:right w:val="none" w:sz="0" w:space="0" w:color="auto"/>
              </w:divBdr>
              <w:divsChild>
                <w:div w:id="9769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88886">
      <w:bodyDiv w:val="1"/>
      <w:marLeft w:val="0"/>
      <w:marRight w:val="0"/>
      <w:marTop w:val="0"/>
      <w:marBottom w:val="0"/>
      <w:divBdr>
        <w:top w:val="none" w:sz="0" w:space="0" w:color="auto"/>
        <w:left w:val="none" w:sz="0" w:space="0" w:color="auto"/>
        <w:bottom w:val="none" w:sz="0" w:space="0" w:color="auto"/>
        <w:right w:val="none" w:sz="0" w:space="0" w:color="auto"/>
      </w:divBdr>
      <w:divsChild>
        <w:div w:id="2006743028">
          <w:marLeft w:val="0"/>
          <w:marRight w:val="0"/>
          <w:marTop w:val="0"/>
          <w:marBottom w:val="0"/>
          <w:divBdr>
            <w:top w:val="none" w:sz="0" w:space="0" w:color="auto"/>
            <w:left w:val="none" w:sz="0" w:space="0" w:color="auto"/>
            <w:bottom w:val="none" w:sz="0" w:space="0" w:color="auto"/>
            <w:right w:val="none" w:sz="0" w:space="0" w:color="auto"/>
          </w:divBdr>
          <w:divsChild>
            <w:div w:id="667438108">
              <w:marLeft w:val="0"/>
              <w:marRight w:val="0"/>
              <w:marTop w:val="0"/>
              <w:marBottom w:val="0"/>
              <w:divBdr>
                <w:top w:val="none" w:sz="0" w:space="0" w:color="auto"/>
                <w:left w:val="none" w:sz="0" w:space="0" w:color="auto"/>
                <w:bottom w:val="none" w:sz="0" w:space="0" w:color="auto"/>
                <w:right w:val="none" w:sz="0" w:space="0" w:color="auto"/>
              </w:divBdr>
              <w:divsChild>
                <w:div w:id="15803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6EE1D-0553-46AE-898A-489300FBE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6</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161</cp:revision>
  <dcterms:created xsi:type="dcterms:W3CDTF">2018-08-29T00:52:00Z</dcterms:created>
  <dcterms:modified xsi:type="dcterms:W3CDTF">2018-09-04T19:50:00Z</dcterms:modified>
</cp:coreProperties>
</file>