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557C3" w14:textId="7ABBF64F" w:rsidR="009D0E52" w:rsidRPr="00B63755" w:rsidRDefault="009D0E52" w:rsidP="00D841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B63755">
        <w:rPr>
          <w:b/>
          <w:bCs/>
          <w:sz w:val="28"/>
          <w:szCs w:val="28"/>
          <w:highlight w:val="yellow"/>
          <w:lang w:val="en-CA"/>
        </w:rPr>
        <w:fldChar w:fldCharType="begin"/>
      </w:r>
      <w:r w:rsidRPr="00B63755">
        <w:rPr>
          <w:b/>
          <w:bCs/>
          <w:sz w:val="28"/>
          <w:szCs w:val="28"/>
          <w:highlight w:val="yellow"/>
          <w:lang w:val="en-CA"/>
        </w:rPr>
        <w:instrText xml:space="preserve"> SEQ CHAPTER \h \r 1</w:instrText>
      </w:r>
      <w:r w:rsidRPr="00B63755">
        <w:rPr>
          <w:b/>
          <w:bCs/>
          <w:sz w:val="28"/>
          <w:szCs w:val="28"/>
          <w:highlight w:val="yellow"/>
          <w:lang w:val="en-CA"/>
        </w:rPr>
        <w:fldChar w:fldCharType="end"/>
      </w:r>
      <w:r w:rsidRPr="00B63755">
        <w:rPr>
          <w:b/>
          <w:bCs/>
          <w:sz w:val="28"/>
          <w:szCs w:val="28"/>
        </w:rPr>
        <w:t>8.02 Admissibility Limited by Confrontation Clause (</w:t>
      </w:r>
      <w:r w:rsidRPr="00B63755">
        <w:rPr>
          <w:b/>
          <w:bCs/>
          <w:i/>
          <w:iCs/>
          <w:sz w:val="28"/>
          <w:szCs w:val="28"/>
        </w:rPr>
        <w:t>Crawford</w:t>
      </w:r>
      <w:r w:rsidRPr="00B63755">
        <w:rPr>
          <w:b/>
          <w:bCs/>
          <w:sz w:val="28"/>
          <w:szCs w:val="28"/>
        </w:rPr>
        <w:t>)</w:t>
      </w:r>
      <w:r w:rsidR="000D0D36" w:rsidRPr="00B63755">
        <w:rPr>
          <w:rStyle w:val="EndnoteReference"/>
          <w:b/>
          <w:bCs/>
          <w:sz w:val="28"/>
          <w:szCs w:val="28"/>
        </w:rPr>
        <w:endnoteReference w:id="1"/>
      </w:r>
    </w:p>
    <w:p w14:paraId="3B349960" w14:textId="77777777" w:rsidR="009D0E52" w:rsidRPr="00B63755" w:rsidRDefault="009D0E52" w:rsidP="00D8411D">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6BECC0ED" w14:textId="297F718A" w:rsidR="009D0E52" w:rsidRPr="00B63755" w:rsidRDefault="009D0E52" w:rsidP="00D8411D">
      <w:pPr>
        <w:pStyle w:val="L15-1"/>
        <w:widowControl/>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r w:rsidRPr="00B63755">
        <w:rPr>
          <w:b/>
          <w:bCs/>
          <w:sz w:val="28"/>
          <w:szCs w:val="28"/>
        </w:rPr>
        <w:t xml:space="preserve"> Confrontation rule in a criminal prosecution.</w:t>
      </w:r>
      <w:r w:rsidR="008509A8" w:rsidRPr="00B63755">
        <w:rPr>
          <w:b/>
          <w:bCs/>
          <w:sz w:val="28"/>
          <w:szCs w:val="28"/>
        </w:rPr>
        <w:t xml:space="preserve"> </w:t>
      </w:r>
      <w:r w:rsidRPr="00B63755">
        <w:rPr>
          <w:b/>
          <w:bCs/>
          <w:sz w:val="28"/>
          <w:szCs w:val="28"/>
        </w:rPr>
        <w:t>A “testimonial statement” of a person who does not testify at trial is not admissible against a defendant for the truth of the statement, unless the witness is unavailable to testify and the defendant had a prior opportunity for cross-examination, or the defendant engaged or acquiesced in wrongdoing that was intended to and did procure the unavailability of the witness.</w:t>
      </w:r>
    </w:p>
    <w:p w14:paraId="74B2481E" w14:textId="77777777" w:rsidR="009D0E52" w:rsidRPr="00B63755" w:rsidRDefault="009D0E52" w:rsidP="00D8411D">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spacing w:after="0" w:line="240" w:lineRule="auto"/>
        <w:jc w:val="left"/>
        <w:rPr>
          <w:rFonts w:ascii="Times New Roman" w:hAnsi="Times New Roman" w:cs="Times New Roman"/>
          <w:b/>
          <w:bCs/>
          <w:sz w:val="28"/>
          <w:szCs w:val="28"/>
        </w:rPr>
      </w:pPr>
    </w:p>
    <w:p w14:paraId="7685A932" w14:textId="77777777" w:rsidR="009D0E52" w:rsidRPr="00B63755" w:rsidRDefault="009D0E52" w:rsidP="00D8411D">
      <w:pPr>
        <w:pStyle w:val="L15-1"/>
        <w:widowControl/>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r w:rsidRPr="00B63755">
        <w:rPr>
          <w:b/>
          <w:bCs/>
          <w:sz w:val="28"/>
          <w:szCs w:val="28"/>
        </w:rPr>
        <w:t xml:space="preserve"> Testimonial statement, in general.</w:t>
      </w:r>
    </w:p>
    <w:p w14:paraId="00B8DE93" w14:textId="77777777" w:rsidR="009D0E52" w:rsidRPr="00B63755" w:rsidRDefault="009D0E52" w:rsidP="00D8411D">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p>
    <w:p w14:paraId="4F3F672C" w14:textId="77777777" w:rsidR="009D0E52" w:rsidRPr="00B63755" w:rsidRDefault="009D0E52" w:rsidP="00D8411D">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left="720" w:right="720"/>
        <w:rPr>
          <w:rFonts w:ascii="Times New Roman" w:hAnsi="Times New Roman" w:cs="Times New Roman"/>
          <w:b/>
          <w:bCs/>
          <w:sz w:val="28"/>
          <w:szCs w:val="28"/>
        </w:rPr>
      </w:pPr>
      <w:r w:rsidRPr="00B63755">
        <w:rPr>
          <w:rFonts w:ascii="Times New Roman" w:hAnsi="Times New Roman" w:cs="Times New Roman"/>
          <w:b/>
          <w:bCs/>
          <w:sz w:val="28"/>
          <w:szCs w:val="28"/>
        </w:rPr>
        <w:t>A hearsay statement is testimonial when it consists of:</w:t>
      </w:r>
    </w:p>
    <w:p w14:paraId="4E65DE8C" w14:textId="77777777" w:rsidR="009D0E52" w:rsidRPr="00B63755" w:rsidRDefault="009D0E52" w:rsidP="00D8411D">
      <w:pPr>
        <w:widowControl/>
        <w:rPr>
          <w:b/>
          <w:bCs/>
          <w:sz w:val="28"/>
          <w:szCs w:val="28"/>
        </w:rPr>
      </w:pPr>
    </w:p>
    <w:p w14:paraId="351784D1" w14:textId="77777777" w:rsidR="00AD38D5" w:rsidRPr="00B63755" w:rsidRDefault="009D0E52" w:rsidP="00D8411D">
      <w:pPr>
        <w:pStyle w:val="L7-1"/>
        <w:widowControl/>
        <w:numPr>
          <w:ilvl w:val="0"/>
          <w:numId w:val="2"/>
        </w:numPr>
        <w:tabs>
          <w:tab w:val="left" w:pos="2160"/>
          <w:tab w:val="left" w:pos="2880"/>
          <w:tab w:val="left" w:pos="3600"/>
          <w:tab w:val="left" w:pos="4320"/>
          <w:tab w:val="left" w:pos="5040"/>
          <w:tab w:val="left" w:pos="5760"/>
          <w:tab w:val="left" w:pos="6480"/>
          <w:tab w:val="left" w:pos="7198"/>
        </w:tabs>
        <w:ind w:left="1440" w:right="720" w:firstLine="0"/>
        <w:rPr>
          <w:b/>
          <w:bCs/>
          <w:sz w:val="28"/>
          <w:szCs w:val="28"/>
        </w:rPr>
      </w:pPr>
      <w:r w:rsidRPr="00B63755">
        <w:rPr>
          <w:b/>
          <w:bCs/>
          <w:sz w:val="28"/>
          <w:szCs w:val="28"/>
        </w:rPr>
        <w:t xml:space="preserve"> prior testimony at a preliminary hearing, before a gr</w:t>
      </w:r>
      <w:r w:rsidR="008B57D9" w:rsidRPr="00B63755">
        <w:rPr>
          <w:b/>
          <w:bCs/>
          <w:sz w:val="28"/>
          <w:szCs w:val="28"/>
        </w:rPr>
        <w:t>and jury, or at a former trial;</w:t>
      </w:r>
    </w:p>
    <w:p w14:paraId="624F053D" w14:textId="77777777" w:rsidR="00AD38D5" w:rsidRPr="00B63755" w:rsidRDefault="00AD38D5" w:rsidP="00D8411D">
      <w:pPr>
        <w:pStyle w:val="L7-1"/>
        <w:widowControl/>
        <w:tabs>
          <w:tab w:val="left" w:pos="2160"/>
          <w:tab w:val="left" w:pos="2880"/>
          <w:tab w:val="left" w:pos="3600"/>
          <w:tab w:val="left" w:pos="4320"/>
          <w:tab w:val="left" w:pos="5040"/>
          <w:tab w:val="left" w:pos="5760"/>
          <w:tab w:val="left" w:pos="6480"/>
          <w:tab w:val="left" w:pos="7198"/>
        </w:tabs>
        <w:ind w:left="0" w:right="720" w:firstLine="0"/>
        <w:rPr>
          <w:b/>
          <w:bCs/>
          <w:sz w:val="28"/>
          <w:szCs w:val="28"/>
        </w:rPr>
      </w:pPr>
    </w:p>
    <w:p w14:paraId="0C88E1A9" w14:textId="77777777" w:rsidR="009D0E52" w:rsidRPr="00B63755" w:rsidRDefault="00AD38D5" w:rsidP="00D8411D">
      <w:pPr>
        <w:pStyle w:val="L7-1"/>
        <w:widowControl/>
        <w:numPr>
          <w:ilvl w:val="0"/>
          <w:numId w:val="2"/>
        </w:numPr>
        <w:tabs>
          <w:tab w:val="left" w:pos="2160"/>
          <w:tab w:val="left" w:pos="2880"/>
          <w:tab w:val="left" w:pos="3600"/>
          <w:tab w:val="left" w:pos="4320"/>
          <w:tab w:val="left" w:pos="5040"/>
          <w:tab w:val="left" w:pos="5760"/>
          <w:tab w:val="left" w:pos="6480"/>
          <w:tab w:val="left" w:pos="7198"/>
        </w:tabs>
        <w:ind w:left="1440" w:right="720" w:firstLine="0"/>
        <w:rPr>
          <w:b/>
          <w:bCs/>
          <w:sz w:val="28"/>
          <w:szCs w:val="28"/>
        </w:rPr>
      </w:pPr>
      <w:r w:rsidRPr="00B63755">
        <w:rPr>
          <w:b/>
          <w:bCs/>
          <w:sz w:val="28"/>
          <w:szCs w:val="28"/>
        </w:rPr>
        <w:t xml:space="preserve"> </w:t>
      </w:r>
      <w:r w:rsidR="009D0E52" w:rsidRPr="00B63755">
        <w:rPr>
          <w:b/>
          <w:bCs/>
          <w:sz w:val="28"/>
          <w:szCs w:val="28"/>
        </w:rPr>
        <w:t xml:space="preserve">an </w:t>
      </w:r>
      <w:r w:rsidR="008B57D9" w:rsidRPr="00B63755">
        <w:rPr>
          <w:b/>
          <w:bCs/>
          <w:sz w:val="28"/>
          <w:szCs w:val="28"/>
        </w:rPr>
        <w:t>out-of-court statement in which</w:t>
      </w:r>
    </w:p>
    <w:p w14:paraId="7A45C477" w14:textId="77777777" w:rsidR="009D0E52" w:rsidRPr="00B63755" w:rsidRDefault="009D0E52" w:rsidP="00D8411D">
      <w:pPr>
        <w:widowControl/>
        <w:rPr>
          <w:b/>
          <w:bCs/>
          <w:sz w:val="28"/>
          <w:szCs w:val="28"/>
        </w:rPr>
      </w:pPr>
    </w:p>
    <w:p w14:paraId="618F12A6" w14:textId="77777777" w:rsidR="009D0E52" w:rsidRPr="00B63755" w:rsidRDefault="008B57D9" w:rsidP="00D8411D">
      <w:pPr>
        <w:pStyle w:val="L2-1"/>
        <w:widowControl/>
        <w:numPr>
          <w:ilvl w:val="0"/>
          <w:numId w:val="3"/>
        </w:numPr>
        <w:tabs>
          <w:tab w:val="left" w:pos="2880"/>
          <w:tab w:val="left" w:pos="3600"/>
          <w:tab w:val="left" w:pos="4320"/>
          <w:tab w:val="left" w:pos="5040"/>
          <w:tab w:val="left" w:pos="5760"/>
          <w:tab w:val="left" w:pos="6480"/>
          <w:tab w:val="left" w:pos="7198"/>
        </w:tabs>
        <w:ind w:left="2160" w:right="720" w:firstLine="0"/>
        <w:rPr>
          <w:b/>
          <w:bCs/>
          <w:sz w:val="28"/>
          <w:szCs w:val="28"/>
        </w:rPr>
      </w:pPr>
      <w:r w:rsidRPr="00B63755">
        <w:rPr>
          <w:b/>
          <w:bCs/>
          <w:sz w:val="28"/>
          <w:szCs w:val="28"/>
        </w:rPr>
        <w:t xml:space="preserve"> </w:t>
      </w:r>
      <w:r w:rsidR="009D0E52" w:rsidRPr="00B63755">
        <w:rPr>
          <w:b/>
          <w:bCs/>
          <w:sz w:val="28"/>
          <w:szCs w:val="28"/>
        </w:rPr>
        <w:t>state actors are involved in a formal, out-of-court interrogation of a witness t</w:t>
      </w:r>
      <w:r w:rsidRPr="00B63755">
        <w:rPr>
          <w:b/>
          <w:bCs/>
          <w:sz w:val="28"/>
          <w:szCs w:val="28"/>
        </w:rPr>
        <w:t>o obtain evidence for trial; or</w:t>
      </w:r>
    </w:p>
    <w:p w14:paraId="48CB493D" w14:textId="77777777" w:rsidR="009D0E52" w:rsidRPr="00B63755" w:rsidRDefault="009D0E52" w:rsidP="00D8411D">
      <w:pPr>
        <w:pStyle w:val="ListParagra"/>
        <w:widowControl/>
        <w:numPr>
          <w:ilvl w:val="12"/>
          <w:numId w:val="0"/>
        </w:numPr>
        <w:tabs>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p>
    <w:p w14:paraId="39C58852" w14:textId="77777777" w:rsidR="009D0E52" w:rsidRPr="00B63755" w:rsidRDefault="008B57D9" w:rsidP="00D8411D">
      <w:pPr>
        <w:pStyle w:val="L2-1"/>
        <w:widowControl/>
        <w:numPr>
          <w:ilvl w:val="0"/>
          <w:numId w:val="3"/>
        </w:numPr>
        <w:tabs>
          <w:tab w:val="left" w:pos="2880"/>
          <w:tab w:val="left" w:pos="3600"/>
          <w:tab w:val="left" w:pos="4320"/>
          <w:tab w:val="left" w:pos="5040"/>
          <w:tab w:val="left" w:pos="5760"/>
          <w:tab w:val="left" w:pos="6480"/>
          <w:tab w:val="left" w:pos="7198"/>
        </w:tabs>
        <w:ind w:left="2160" w:right="720" w:firstLine="0"/>
        <w:rPr>
          <w:b/>
          <w:bCs/>
          <w:sz w:val="28"/>
          <w:szCs w:val="28"/>
        </w:rPr>
      </w:pPr>
      <w:r w:rsidRPr="00B63755">
        <w:rPr>
          <w:b/>
          <w:bCs/>
          <w:sz w:val="28"/>
          <w:szCs w:val="28"/>
        </w:rPr>
        <w:t xml:space="preserve"> </w:t>
      </w:r>
      <w:r w:rsidR="009D0E52" w:rsidRPr="00B63755">
        <w:rPr>
          <w:b/>
          <w:bCs/>
          <w:sz w:val="28"/>
          <w:szCs w:val="28"/>
        </w:rPr>
        <w:t xml:space="preserve">absent a formal interrogation, the circumstances demonstrate that the “primary purpose” of an exchange was to procure an out-of-court statement to prove criminal conduct or past events potentially relevant to a later criminal prosecution, or otherwise </w:t>
      </w:r>
      <w:r w:rsidRPr="00B63755">
        <w:rPr>
          <w:b/>
          <w:bCs/>
          <w:sz w:val="28"/>
          <w:szCs w:val="28"/>
        </w:rPr>
        <w:t>substitute for trial testimony.</w:t>
      </w:r>
    </w:p>
    <w:p w14:paraId="6A0B7F7D" w14:textId="77777777" w:rsidR="009D0E52" w:rsidRPr="00B63755" w:rsidRDefault="009D0E52" w:rsidP="00D8411D">
      <w:pPr>
        <w:widowControl/>
        <w:rPr>
          <w:b/>
          <w:bCs/>
          <w:sz w:val="28"/>
          <w:szCs w:val="28"/>
        </w:rPr>
      </w:pPr>
    </w:p>
    <w:p w14:paraId="5626C61C" w14:textId="77777777" w:rsidR="009D0E52" w:rsidRPr="00B63755" w:rsidRDefault="009D0E52" w:rsidP="00D8411D">
      <w:pPr>
        <w:widowControl/>
        <w:numPr>
          <w:ilvl w:val="12"/>
          <w:numId w:val="0"/>
        </w:numPr>
        <w:ind w:left="720" w:right="720"/>
        <w:jc w:val="both"/>
        <w:rPr>
          <w:b/>
          <w:bCs/>
          <w:sz w:val="28"/>
          <w:szCs w:val="28"/>
        </w:rPr>
      </w:pPr>
      <w:r w:rsidRPr="00B63755">
        <w:rPr>
          <w:b/>
          <w:bCs/>
          <w:sz w:val="28"/>
          <w:szCs w:val="28"/>
        </w:rPr>
        <w:t>(3) Statement to police.</w:t>
      </w:r>
    </w:p>
    <w:p w14:paraId="288B0900" w14:textId="77777777" w:rsidR="009D0E52" w:rsidRPr="00B63755" w:rsidRDefault="009D0E52" w:rsidP="00D8411D">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p>
    <w:p w14:paraId="78E4FCE5" w14:textId="6FCFCB2C" w:rsidR="009D0E52" w:rsidRPr="00B63755" w:rsidRDefault="009D0E52" w:rsidP="00D8411D">
      <w:pPr>
        <w:pStyle w:val="ListParagra"/>
        <w:widowControl/>
        <w:numPr>
          <w:ilvl w:val="12"/>
          <w:numId w:val="0"/>
        </w:numPr>
        <w:tabs>
          <w:tab w:val="left" w:pos="1440"/>
          <w:tab w:val="left" w:pos="2880"/>
          <w:tab w:val="left" w:pos="3600"/>
          <w:tab w:val="left" w:pos="4320"/>
          <w:tab w:val="left" w:pos="5040"/>
          <w:tab w:val="left" w:pos="5760"/>
          <w:tab w:val="left" w:pos="6480"/>
          <w:tab w:val="left" w:pos="7198"/>
        </w:tabs>
        <w:spacing w:after="0" w:line="240" w:lineRule="auto"/>
        <w:ind w:left="720" w:right="720"/>
        <w:rPr>
          <w:rFonts w:ascii="Times New Roman" w:hAnsi="Times New Roman" w:cs="Times New Roman"/>
          <w:b/>
          <w:bCs/>
          <w:sz w:val="28"/>
          <w:szCs w:val="28"/>
        </w:rPr>
      </w:pPr>
      <w:r w:rsidRPr="00B63755">
        <w:rPr>
          <w:rFonts w:ascii="Times New Roman" w:hAnsi="Times New Roman" w:cs="Times New Roman"/>
          <w:b/>
          <w:bCs/>
          <w:sz w:val="28"/>
          <w:szCs w:val="28"/>
        </w:rPr>
        <w:t>A statement made to the police is not testimonial when made in the course of a police interrogation under circumstances objectively indicating that the primary purpose of the interrogation is to enable police assistance to meet an ongoing emergency</w:t>
      </w:r>
      <w:r w:rsidR="00150CEF" w:rsidRPr="00B63755">
        <w:rPr>
          <w:rFonts w:ascii="Times New Roman" w:hAnsi="Times New Roman" w:cs="Times New Roman"/>
          <w:b/>
          <w:bCs/>
          <w:sz w:val="28"/>
          <w:szCs w:val="28"/>
        </w:rPr>
        <w:t>.</w:t>
      </w:r>
      <w:r w:rsidR="008509A8" w:rsidRPr="00B63755">
        <w:rPr>
          <w:rFonts w:ascii="Times New Roman" w:hAnsi="Times New Roman" w:cs="Times New Roman"/>
          <w:b/>
          <w:bCs/>
          <w:sz w:val="28"/>
          <w:szCs w:val="28"/>
        </w:rPr>
        <w:t xml:space="preserve"> </w:t>
      </w:r>
      <w:r w:rsidRPr="00B63755">
        <w:rPr>
          <w:rFonts w:ascii="Times New Roman" w:hAnsi="Times New Roman" w:cs="Times New Roman"/>
          <w:b/>
          <w:bCs/>
          <w:sz w:val="28"/>
          <w:szCs w:val="28"/>
        </w:rPr>
        <w:t xml:space="preserve">The </w:t>
      </w:r>
      <w:r w:rsidRPr="00B63755">
        <w:rPr>
          <w:rFonts w:ascii="Times New Roman" w:hAnsi="Times New Roman" w:cs="Times New Roman"/>
          <w:b/>
          <w:bCs/>
          <w:sz w:val="28"/>
          <w:szCs w:val="28"/>
        </w:rPr>
        <w:lastRenderedPageBreak/>
        <w:t>statement to the police is testimonial when the circumstances objectively indicate that there is no ongoing emergency and that the primary purpose of the interrogation is to establish or prove past events potentially relevant to a later criminal prosecution</w:t>
      </w:r>
      <w:r w:rsidR="00150CEF" w:rsidRPr="00B63755">
        <w:rPr>
          <w:rFonts w:ascii="Times New Roman" w:hAnsi="Times New Roman" w:cs="Times New Roman"/>
          <w:b/>
          <w:bCs/>
          <w:sz w:val="28"/>
          <w:szCs w:val="28"/>
        </w:rPr>
        <w:t xml:space="preserve">. </w:t>
      </w:r>
      <w:r w:rsidRPr="00B63755">
        <w:rPr>
          <w:rFonts w:ascii="Times New Roman" w:hAnsi="Times New Roman" w:cs="Times New Roman"/>
          <w:b/>
          <w:bCs/>
          <w:sz w:val="28"/>
          <w:szCs w:val="28"/>
        </w:rPr>
        <w:t>A statement obtained by the police in a formal station house interrogation for that stated purpose is thus testimonial.</w:t>
      </w:r>
    </w:p>
    <w:p w14:paraId="03C6CA5E" w14:textId="77777777" w:rsidR="009D0E52" w:rsidRPr="00B63755" w:rsidRDefault="009D0E52" w:rsidP="00D8411D">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p>
    <w:p w14:paraId="7C4E1E49" w14:textId="77777777" w:rsidR="009D0E52" w:rsidRPr="00B63755" w:rsidRDefault="009D0E52" w:rsidP="00D8411D">
      <w:pPr>
        <w:widowControl/>
        <w:numPr>
          <w:ilvl w:val="12"/>
          <w:numId w:val="0"/>
        </w:numPr>
        <w:tabs>
          <w:tab w:val="left" w:pos="1440"/>
          <w:tab w:val="left" w:pos="2160"/>
          <w:tab w:val="left" w:pos="3240"/>
          <w:tab w:val="left" w:pos="3960"/>
          <w:tab w:val="left" w:pos="4680"/>
          <w:tab w:val="left" w:pos="5400"/>
          <w:tab w:val="left" w:pos="6118"/>
        </w:tabs>
        <w:ind w:left="720" w:right="720"/>
        <w:jc w:val="both"/>
        <w:rPr>
          <w:b/>
          <w:bCs/>
          <w:sz w:val="28"/>
          <w:szCs w:val="28"/>
        </w:rPr>
      </w:pPr>
      <w:r w:rsidRPr="00B63755">
        <w:rPr>
          <w:b/>
          <w:bCs/>
          <w:sz w:val="28"/>
          <w:szCs w:val="28"/>
        </w:rPr>
        <w:t>(4) Statement to a court.</w:t>
      </w:r>
    </w:p>
    <w:p w14:paraId="5BECC1D1" w14:textId="77777777" w:rsidR="009D0E52" w:rsidRPr="00B63755" w:rsidRDefault="009D0E52" w:rsidP="00D8411D">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p>
    <w:p w14:paraId="24D44CF6" w14:textId="77777777" w:rsidR="009D0E52" w:rsidRPr="00B63755" w:rsidRDefault="009D0E52" w:rsidP="00D8411D">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left="720" w:right="720"/>
        <w:rPr>
          <w:rFonts w:ascii="Times New Roman" w:hAnsi="Times New Roman" w:cs="Times New Roman"/>
          <w:b/>
          <w:bCs/>
          <w:sz w:val="28"/>
          <w:szCs w:val="28"/>
        </w:rPr>
      </w:pPr>
      <w:r w:rsidRPr="00B63755">
        <w:rPr>
          <w:rFonts w:ascii="Times New Roman" w:hAnsi="Times New Roman" w:cs="Times New Roman"/>
          <w:b/>
          <w:bCs/>
          <w:sz w:val="28"/>
          <w:szCs w:val="28"/>
        </w:rPr>
        <w:t>A defendant’s guilty plea allocution that implicates a codefendant is a testimonial statement and may not therefore be admitted at the trial of the codefendant in the absence of an opportunity for the codefendant to cross-examine the defendant</w:t>
      </w:r>
      <w:r w:rsidR="00AA4F1F" w:rsidRPr="00B63755">
        <w:rPr>
          <w:rFonts w:ascii="Times New Roman" w:hAnsi="Times New Roman" w:cs="Times New Roman"/>
          <w:b/>
          <w:bCs/>
          <w:sz w:val="28"/>
          <w:szCs w:val="28"/>
        </w:rPr>
        <w:t>.</w:t>
      </w:r>
    </w:p>
    <w:p w14:paraId="7F9951A1" w14:textId="77777777" w:rsidR="008B57D9" w:rsidRPr="00B63755" w:rsidRDefault="008B57D9" w:rsidP="00D8411D">
      <w:pPr>
        <w:widowControl/>
        <w:numPr>
          <w:ilvl w:val="12"/>
          <w:numId w:val="0"/>
        </w:numPr>
        <w:tabs>
          <w:tab w:val="left" w:pos="3080"/>
          <w:tab w:val="left" w:pos="3800"/>
          <w:tab w:val="left" w:pos="4520"/>
          <w:tab w:val="left" w:pos="5239"/>
        </w:tabs>
        <w:ind w:right="720"/>
        <w:jc w:val="both"/>
        <w:rPr>
          <w:b/>
          <w:bCs/>
          <w:sz w:val="28"/>
          <w:szCs w:val="28"/>
        </w:rPr>
      </w:pPr>
    </w:p>
    <w:p w14:paraId="37DD8CA4" w14:textId="77777777" w:rsidR="009D0E52" w:rsidRPr="00B63755" w:rsidRDefault="009D0E52" w:rsidP="00D8411D">
      <w:pPr>
        <w:widowControl/>
        <w:numPr>
          <w:ilvl w:val="12"/>
          <w:numId w:val="0"/>
        </w:numPr>
        <w:tabs>
          <w:tab w:val="left" w:pos="3080"/>
          <w:tab w:val="left" w:pos="3800"/>
          <w:tab w:val="left" w:pos="4520"/>
          <w:tab w:val="left" w:pos="5239"/>
        </w:tabs>
        <w:ind w:left="720" w:right="720"/>
        <w:jc w:val="both"/>
        <w:rPr>
          <w:b/>
          <w:bCs/>
          <w:sz w:val="28"/>
          <w:szCs w:val="28"/>
        </w:rPr>
      </w:pPr>
      <w:r w:rsidRPr="00B63755">
        <w:rPr>
          <w:b/>
          <w:bCs/>
          <w:sz w:val="28"/>
          <w:szCs w:val="28"/>
        </w:rPr>
        <w:t>(5) Statement made for the safety or treatment of a person.</w:t>
      </w:r>
    </w:p>
    <w:p w14:paraId="496952DC" w14:textId="77777777" w:rsidR="009D0E52" w:rsidRPr="00B63755" w:rsidRDefault="009D0E52" w:rsidP="00D8411D">
      <w:pPr>
        <w:widowControl/>
        <w:rPr>
          <w:b/>
          <w:bCs/>
          <w:sz w:val="28"/>
          <w:szCs w:val="28"/>
        </w:rPr>
      </w:pPr>
    </w:p>
    <w:p w14:paraId="689C8F3F" w14:textId="77777777" w:rsidR="009D0E52" w:rsidRPr="00B63755" w:rsidRDefault="008B57D9" w:rsidP="00D8411D">
      <w:pPr>
        <w:pStyle w:val="L13-1"/>
        <w:widowControl/>
        <w:numPr>
          <w:ilvl w:val="0"/>
          <w:numId w:val="4"/>
        </w:numPr>
        <w:tabs>
          <w:tab w:val="left" w:pos="2160"/>
          <w:tab w:val="left" w:pos="2880"/>
          <w:tab w:val="left" w:pos="3600"/>
          <w:tab w:val="left" w:pos="4320"/>
          <w:tab w:val="left" w:pos="5040"/>
          <w:tab w:val="left" w:pos="5760"/>
          <w:tab w:val="left" w:pos="6480"/>
          <w:tab w:val="left" w:pos="7198"/>
        </w:tabs>
        <w:ind w:left="1440" w:right="720" w:firstLine="0"/>
        <w:rPr>
          <w:b/>
          <w:bCs/>
          <w:sz w:val="28"/>
          <w:szCs w:val="28"/>
        </w:rPr>
      </w:pPr>
      <w:r w:rsidRPr="00B63755">
        <w:rPr>
          <w:b/>
          <w:bCs/>
          <w:sz w:val="28"/>
          <w:szCs w:val="28"/>
        </w:rPr>
        <w:t xml:space="preserve"> </w:t>
      </w:r>
      <w:r w:rsidR="009D0E52" w:rsidRPr="00B63755">
        <w:rPr>
          <w:b/>
          <w:bCs/>
          <w:sz w:val="28"/>
          <w:szCs w:val="28"/>
        </w:rPr>
        <w:t>A statement of a student made in response to an inquiry of an educator is not testimonial when the primary purpose of the inquiry was to provi</w:t>
      </w:r>
      <w:r w:rsidRPr="00B63755">
        <w:rPr>
          <w:b/>
          <w:bCs/>
          <w:sz w:val="28"/>
          <w:szCs w:val="28"/>
        </w:rPr>
        <w:t>de for the safety of the child.</w:t>
      </w:r>
    </w:p>
    <w:p w14:paraId="59304F1C" w14:textId="77777777" w:rsidR="009D0E52" w:rsidRPr="00B63755" w:rsidRDefault="009D0E52" w:rsidP="00D8411D">
      <w:pPr>
        <w:pStyle w:val="ListParagra"/>
        <w:widowControl/>
        <w:numPr>
          <w:ilvl w:val="12"/>
          <w:numId w:val="0"/>
        </w:numPr>
        <w:tabs>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p>
    <w:p w14:paraId="2D57BC3D" w14:textId="77777777" w:rsidR="009D0E52" w:rsidRPr="00B63755" w:rsidRDefault="00231396" w:rsidP="00D8411D">
      <w:pPr>
        <w:pStyle w:val="L13-1"/>
        <w:widowControl/>
        <w:numPr>
          <w:ilvl w:val="0"/>
          <w:numId w:val="4"/>
        </w:numPr>
        <w:tabs>
          <w:tab w:val="left" w:pos="2160"/>
          <w:tab w:val="left" w:pos="2880"/>
          <w:tab w:val="left" w:pos="3600"/>
          <w:tab w:val="left" w:pos="4320"/>
          <w:tab w:val="left" w:pos="5040"/>
          <w:tab w:val="left" w:pos="5760"/>
          <w:tab w:val="left" w:pos="6480"/>
          <w:tab w:val="left" w:pos="7198"/>
        </w:tabs>
        <w:ind w:left="1440" w:right="720" w:firstLine="0"/>
        <w:rPr>
          <w:b/>
          <w:bCs/>
          <w:sz w:val="28"/>
          <w:szCs w:val="28"/>
        </w:rPr>
      </w:pPr>
      <w:r w:rsidRPr="00B63755">
        <w:rPr>
          <w:b/>
          <w:bCs/>
          <w:sz w:val="28"/>
          <w:szCs w:val="28"/>
        </w:rPr>
        <w:t xml:space="preserve"> </w:t>
      </w:r>
      <w:r w:rsidR="009D0E52" w:rsidRPr="00B63755">
        <w:rPr>
          <w:b/>
          <w:bCs/>
          <w:sz w:val="28"/>
          <w:szCs w:val="28"/>
        </w:rPr>
        <w:t>A statement of a patient made in response to an inquiry by a physician is not testimonial when the primary purpose of the inquiry was to diagnose the patient’s condition and administer medical treatment.</w:t>
      </w:r>
    </w:p>
    <w:p w14:paraId="2EEB6032" w14:textId="77777777" w:rsidR="00B9620F" w:rsidRPr="00B63755" w:rsidRDefault="00B9620F" w:rsidP="00C95EA2">
      <w:pPr>
        <w:pStyle w:val="L13-1"/>
        <w:widowControl/>
        <w:tabs>
          <w:tab w:val="left" w:pos="2160"/>
          <w:tab w:val="left" w:pos="2880"/>
          <w:tab w:val="left" w:pos="3600"/>
          <w:tab w:val="left" w:pos="4320"/>
          <w:tab w:val="left" w:pos="5040"/>
          <w:tab w:val="left" w:pos="5760"/>
          <w:tab w:val="left" w:pos="6480"/>
          <w:tab w:val="left" w:pos="7198"/>
        </w:tabs>
        <w:ind w:left="0" w:right="720" w:firstLine="0"/>
        <w:rPr>
          <w:b/>
          <w:bCs/>
          <w:sz w:val="28"/>
          <w:szCs w:val="28"/>
        </w:rPr>
      </w:pPr>
    </w:p>
    <w:p w14:paraId="59CE6F46" w14:textId="77777777" w:rsidR="009D0E52" w:rsidRDefault="009D0E52" w:rsidP="00D8411D">
      <w:pPr>
        <w:widowControl/>
        <w:numPr>
          <w:ilvl w:val="12"/>
          <w:numId w:val="0"/>
        </w:numPr>
        <w:tabs>
          <w:tab w:val="left" w:pos="1080"/>
          <w:tab w:val="left" w:pos="1800"/>
          <w:tab w:val="left" w:pos="2520"/>
          <w:tab w:val="left" w:pos="3240"/>
          <w:tab w:val="left" w:pos="3960"/>
          <w:tab w:val="left" w:pos="4680"/>
          <w:tab w:val="left" w:pos="5400"/>
          <w:tab w:val="left" w:pos="6120"/>
          <w:tab w:val="left" w:pos="6838"/>
        </w:tabs>
        <w:ind w:left="720" w:right="720"/>
        <w:jc w:val="both"/>
        <w:rPr>
          <w:b/>
          <w:bCs/>
          <w:sz w:val="28"/>
          <w:szCs w:val="28"/>
        </w:rPr>
      </w:pPr>
      <w:r w:rsidRPr="00B63755">
        <w:rPr>
          <w:b/>
          <w:bCs/>
          <w:sz w:val="28"/>
          <w:szCs w:val="28"/>
        </w:rPr>
        <w:t>(6) Forensic Report.</w:t>
      </w:r>
    </w:p>
    <w:p w14:paraId="5044D480" w14:textId="77777777" w:rsidR="00687446" w:rsidRPr="00B63755" w:rsidRDefault="00687446" w:rsidP="00D8411D">
      <w:pPr>
        <w:widowControl/>
        <w:numPr>
          <w:ilvl w:val="12"/>
          <w:numId w:val="0"/>
        </w:numPr>
        <w:tabs>
          <w:tab w:val="left" w:pos="1080"/>
          <w:tab w:val="left" w:pos="1800"/>
          <w:tab w:val="left" w:pos="2520"/>
          <w:tab w:val="left" w:pos="3240"/>
          <w:tab w:val="left" w:pos="3960"/>
          <w:tab w:val="left" w:pos="4680"/>
          <w:tab w:val="left" w:pos="5400"/>
          <w:tab w:val="left" w:pos="6120"/>
          <w:tab w:val="left" w:pos="6838"/>
        </w:tabs>
        <w:ind w:left="720" w:right="720"/>
        <w:jc w:val="both"/>
        <w:rPr>
          <w:b/>
          <w:bCs/>
          <w:sz w:val="28"/>
          <w:szCs w:val="28"/>
        </w:rPr>
      </w:pPr>
    </w:p>
    <w:p w14:paraId="2772547F" w14:textId="2A75ED4E" w:rsidR="009D0E52" w:rsidRPr="00687446" w:rsidRDefault="00687446" w:rsidP="00687446">
      <w:pPr>
        <w:pStyle w:val="L6-1"/>
        <w:widowControl/>
        <w:numPr>
          <w:ilvl w:val="0"/>
          <w:numId w:val="5"/>
        </w:numPr>
        <w:tabs>
          <w:tab w:val="left" w:pos="2160"/>
          <w:tab w:val="left" w:pos="2880"/>
          <w:tab w:val="left" w:pos="3600"/>
          <w:tab w:val="left" w:pos="4320"/>
          <w:tab w:val="left" w:pos="5040"/>
          <w:tab w:val="left" w:pos="5760"/>
          <w:tab w:val="left" w:pos="6480"/>
          <w:tab w:val="left" w:pos="7200"/>
          <w:tab w:val="left" w:pos="7918"/>
        </w:tabs>
        <w:ind w:left="1440" w:right="720" w:firstLine="0"/>
        <w:rPr>
          <w:b/>
          <w:bCs/>
          <w:sz w:val="28"/>
          <w:szCs w:val="28"/>
        </w:rPr>
      </w:pPr>
      <w:r w:rsidRPr="00DC1609">
        <w:rPr>
          <w:b/>
          <w:bCs/>
          <w:sz w:val="28"/>
          <w:szCs w:val="28"/>
        </w:rPr>
        <w:t xml:space="preserve"> </w:t>
      </w:r>
      <w:r w:rsidR="009D0E52" w:rsidRPr="00DC1609">
        <w:rPr>
          <w:b/>
          <w:bCs/>
          <w:sz w:val="28"/>
          <w:szCs w:val="28"/>
        </w:rPr>
        <w:t xml:space="preserve">A </w:t>
      </w:r>
      <w:r w:rsidR="00E773AB" w:rsidRPr="00DC1609">
        <w:rPr>
          <w:b/>
          <w:bCs/>
          <w:sz w:val="28"/>
          <w:szCs w:val="28"/>
        </w:rPr>
        <w:t xml:space="preserve">statement in a </w:t>
      </w:r>
      <w:r w:rsidR="009D0E52" w:rsidRPr="00DC1609">
        <w:rPr>
          <w:b/>
          <w:bCs/>
          <w:sz w:val="28"/>
          <w:szCs w:val="28"/>
        </w:rPr>
        <w:t xml:space="preserve">forensic </w:t>
      </w:r>
      <w:r w:rsidR="00022CC2" w:rsidRPr="00DC1609">
        <w:rPr>
          <w:b/>
          <w:bCs/>
          <w:sz w:val="28"/>
          <w:szCs w:val="28"/>
        </w:rPr>
        <w:t xml:space="preserve">report </w:t>
      </w:r>
      <w:r w:rsidR="00EC5355" w:rsidRPr="00DC1609">
        <w:rPr>
          <w:b/>
          <w:bCs/>
          <w:sz w:val="28"/>
          <w:szCs w:val="28"/>
        </w:rPr>
        <w:t xml:space="preserve">is testimonial if </w:t>
      </w:r>
      <w:r w:rsidR="00022CC2" w:rsidRPr="00DC1609">
        <w:rPr>
          <w:b/>
          <w:bCs/>
          <w:sz w:val="28"/>
          <w:szCs w:val="28"/>
        </w:rPr>
        <w:t xml:space="preserve">it </w:t>
      </w:r>
      <w:r w:rsidR="009D0E52" w:rsidRPr="00687446">
        <w:rPr>
          <w:b/>
          <w:bCs/>
          <w:sz w:val="28"/>
          <w:szCs w:val="28"/>
        </w:rPr>
        <w:t>identifies an item connected to the defendant as an illegal drug, or delineates the blood-alcohol content of a defendant’s blood, or identifies the defendant through a fingerprint analysis or through a DNA analysis of incriminating evidence.</w:t>
      </w:r>
    </w:p>
    <w:p w14:paraId="1A8BAE6E" w14:textId="77777777" w:rsidR="00AB4BBF" w:rsidRPr="00B63755" w:rsidRDefault="00AB4BBF" w:rsidP="00C95EA2">
      <w:pPr>
        <w:pStyle w:val="L6-1"/>
        <w:widowControl/>
        <w:tabs>
          <w:tab w:val="left" w:pos="2160"/>
          <w:tab w:val="left" w:pos="2880"/>
          <w:tab w:val="left" w:pos="3600"/>
          <w:tab w:val="left" w:pos="4320"/>
          <w:tab w:val="left" w:pos="5040"/>
          <w:tab w:val="left" w:pos="5760"/>
          <w:tab w:val="left" w:pos="6480"/>
          <w:tab w:val="left" w:pos="7200"/>
          <w:tab w:val="left" w:pos="7918"/>
        </w:tabs>
        <w:ind w:left="0" w:right="720" w:firstLine="0"/>
        <w:rPr>
          <w:b/>
          <w:bCs/>
          <w:sz w:val="28"/>
          <w:szCs w:val="28"/>
        </w:rPr>
      </w:pPr>
    </w:p>
    <w:p w14:paraId="1785297B" w14:textId="0C465A41" w:rsidR="00CD0F5C" w:rsidRPr="00DC1609" w:rsidRDefault="009D0E52" w:rsidP="009D4F77">
      <w:pPr>
        <w:pStyle w:val="L6-1"/>
        <w:widowControl/>
        <w:numPr>
          <w:ilvl w:val="0"/>
          <w:numId w:val="5"/>
        </w:numPr>
        <w:tabs>
          <w:tab w:val="left" w:pos="2160"/>
          <w:tab w:val="left" w:pos="2880"/>
          <w:tab w:val="left" w:pos="3600"/>
          <w:tab w:val="left" w:pos="4320"/>
          <w:tab w:val="left" w:pos="5040"/>
          <w:tab w:val="left" w:pos="5760"/>
          <w:tab w:val="left" w:pos="6480"/>
          <w:tab w:val="left" w:pos="7200"/>
          <w:tab w:val="left" w:pos="7918"/>
        </w:tabs>
        <w:ind w:left="1440" w:right="720" w:firstLine="0"/>
        <w:rPr>
          <w:b/>
          <w:bCs/>
          <w:sz w:val="28"/>
          <w:szCs w:val="28"/>
        </w:rPr>
      </w:pPr>
      <w:r w:rsidRPr="00DC1609">
        <w:rPr>
          <w:b/>
          <w:bCs/>
          <w:sz w:val="28"/>
          <w:szCs w:val="28"/>
        </w:rPr>
        <w:t xml:space="preserve"> A testimonial forensic report entitles a defendant to be confronted, as defined in subdivision one, with either the person who </w:t>
      </w:r>
      <w:r w:rsidR="00D66BAF" w:rsidRPr="00DC1609">
        <w:rPr>
          <w:rFonts w:eastAsia="Times New Roman"/>
          <w:b/>
          <w:bCs/>
          <w:sz w:val="28"/>
          <w:szCs w:val="28"/>
          <w:lang w:val="x-none"/>
        </w:rPr>
        <w:t>performed</w:t>
      </w:r>
      <w:r w:rsidR="005A5837" w:rsidRPr="00DC1609">
        <w:rPr>
          <w:rFonts w:eastAsia="Times New Roman"/>
          <w:b/>
          <w:bCs/>
          <w:sz w:val="28"/>
          <w:szCs w:val="28"/>
        </w:rPr>
        <w:t xml:space="preserve"> </w:t>
      </w:r>
      <w:r w:rsidR="00D66BAF" w:rsidRPr="00DC1609">
        <w:rPr>
          <w:rFonts w:eastAsia="Times New Roman"/>
          <w:b/>
          <w:bCs/>
          <w:sz w:val="28"/>
          <w:szCs w:val="28"/>
          <w:lang w:val="x-none"/>
        </w:rPr>
        <w:t xml:space="preserve">the </w:t>
      </w:r>
      <w:r w:rsidR="00D66BAF" w:rsidRPr="00DC1609">
        <w:rPr>
          <w:rFonts w:eastAsia="Times New Roman"/>
          <w:b/>
          <w:bCs/>
          <w:sz w:val="28"/>
          <w:szCs w:val="28"/>
        </w:rPr>
        <w:t xml:space="preserve">analysis underlying the </w:t>
      </w:r>
      <w:r w:rsidRPr="00DC1609">
        <w:rPr>
          <w:b/>
          <w:bCs/>
          <w:sz w:val="28"/>
          <w:szCs w:val="28"/>
        </w:rPr>
        <w:t>forensic report or with a person who is a trained analyst who supervised, witnessed or observed the</w:t>
      </w:r>
      <w:r w:rsidR="003A13F2" w:rsidRPr="00DC1609">
        <w:rPr>
          <w:b/>
          <w:bCs/>
          <w:sz w:val="28"/>
          <w:szCs w:val="28"/>
        </w:rPr>
        <w:t xml:space="preserve"> </w:t>
      </w:r>
      <w:r w:rsidR="00D65961" w:rsidRPr="00DC1609">
        <w:rPr>
          <w:b/>
          <w:bCs/>
          <w:sz w:val="28"/>
          <w:szCs w:val="28"/>
        </w:rPr>
        <w:t xml:space="preserve">analysis </w:t>
      </w:r>
      <w:r w:rsidR="00CD0F5C" w:rsidRPr="00DC1609">
        <w:rPr>
          <w:rFonts w:eastAsia="Times New Roman"/>
          <w:b/>
          <w:bCs/>
          <w:sz w:val="28"/>
          <w:szCs w:val="28"/>
          <w:lang w:val="x-none"/>
        </w:rPr>
        <w:t xml:space="preserve">or </w:t>
      </w:r>
      <w:r w:rsidR="00927687" w:rsidRPr="00DC1609">
        <w:rPr>
          <w:rFonts w:eastAsia="Times New Roman"/>
          <w:b/>
          <w:bCs/>
          <w:sz w:val="28"/>
          <w:szCs w:val="28"/>
          <w:lang w:val="x-none"/>
        </w:rPr>
        <w:t xml:space="preserve">who </w:t>
      </w:r>
      <w:r w:rsidR="00137140" w:rsidRPr="00DC1609">
        <w:rPr>
          <w:rFonts w:eastAsia="Times New Roman"/>
          <w:b/>
          <w:bCs/>
          <w:sz w:val="28"/>
          <w:szCs w:val="28"/>
        </w:rPr>
        <w:t xml:space="preserve">conducted an </w:t>
      </w:r>
      <w:r w:rsidR="00CD0F5C" w:rsidRPr="00DC1609">
        <w:rPr>
          <w:rFonts w:eastAsia="Times New Roman"/>
          <w:b/>
          <w:bCs/>
          <w:sz w:val="28"/>
          <w:szCs w:val="28"/>
          <w:lang w:val="x-none"/>
        </w:rPr>
        <w:t xml:space="preserve">independent analysis </w:t>
      </w:r>
      <w:r w:rsidR="00137140" w:rsidRPr="00DC1609">
        <w:rPr>
          <w:rFonts w:eastAsia="Times New Roman"/>
          <w:b/>
          <w:bCs/>
          <w:sz w:val="28"/>
          <w:szCs w:val="28"/>
        </w:rPr>
        <w:t xml:space="preserve">of </w:t>
      </w:r>
      <w:r w:rsidR="00CD0F5C" w:rsidRPr="00DC1609">
        <w:rPr>
          <w:rFonts w:eastAsia="Times New Roman"/>
          <w:b/>
          <w:bCs/>
          <w:sz w:val="28"/>
          <w:szCs w:val="28"/>
          <w:lang w:val="x-none"/>
        </w:rPr>
        <w:t>the primary data</w:t>
      </w:r>
      <w:r w:rsidR="00CD0F5C" w:rsidRPr="00DC1609">
        <w:rPr>
          <w:rFonts w:eastAsia="Times New Roman"/>
          <w:b/>
          <w:bCs/>
          <w:sz w:val="28"/>
          <w:szCs w:val="28"/>
        </w:rPr>
        <w:t>.</w:t>
      </w:r>
    </w:p>
    <w:p w14:paraId="0BCB83D1" w14:textId="77777777" w:rsidR="00B35E7C" w:rsidRPr="00B63755" w:rsidRDefault="00B35E7C" w:rsidP="00C95EA2">
      <w:pPr>
        <w:pStyle w:val="ListParagraph"/>
        <w:ind w:left="0"/>
        <w:rPr>
          <w:b/>
          <w:bCs/>
          <w:sz w:val="28"/>
          <w:szCs w:val="28"/>
        </w:rPr>
      </w:pPr>
    </w:p>
    <w:p w14:paraId="0853E992" w14:textId="77777777" w:rsidR="00CD41E1" w:rsidRDefault="00A24A77" w:rsidP="00A24A77">
      <w:pPr>
        <w:pStyle w:val="ListParagraph"/>
        <w:numPr>
          <w:ilvl w:val="0"/>
          <w:numId w:val="5"/>
        </w:numPr>
        <w:snapToGrid w:val="0"/>
        <w:ind w:left="1440" w:right="720"/>
        <w:jc w:val="both"/>
        <w:rPr>
          <w:rFonts w:eastAsia="Times New Roman"/>
          <w:b/>
          <w:bCs/>
          <w:sz w:val="28"/>
          <w:szCs w:val="28"/>
        </w:rPr>
      </w:pPr>
      <w:r>
        <w:rPr>
          <w:rFonts w:eastAsia="Times New Roman"/>
          <w:b/>
          <w:bCs/>
          <w:sz w:val="28"/>
          <w:szCs w:val="28"/>
        </w:rPr>
        <w:t xml:space="preserve"> Autopsy R</w:t>
      </w:r>
      <w:r w:rsidR="00CD41E1">
        <w:rPr>
          <w:rFonts w:eastAsia="Times New Roman"/>
          <w:b/>
          <w:bCs/>
          <w:sz w:val="28"/>
          <w:szCs w:val="28"/>
        </w:rPr>
        <w:t>eport.</w:t>
      </w:r>
    </w:p>
    <w:p w14:paraId="16342A88" w14:textId="77777777" w:rsidR="00CD41E1" w:rsidRPr="00CD41E1" w:rsidRDefault="00CD41E1" w:rsidP="00CD41E1">
      <w:pPr>
        <w:pStyle w:val="ListParagraph"/>
        <w:rPr>
          <w:rFonts w:eastAsia="Times New Roman"/>
          <w:b/>
          <w:bCs/>
          <w:sz w:val="28"/>
          <w:szCs w:val="28"/>
        </w:rPr>
      </w:pPr>
    </w:p>
    <w:p w14:paraId="4FCCF62D" w14:textId="0BB9889E" w:rsidR="00A24A77" w:rsidRPr="00A24A77" w:rsidRDefault="00B35E7C" w:rsidP="00CD41E1">
      <w:pPr>
        <w:pStyle w:val="ListParagraph"/>
        <w:snapToGrid w:val="0"/>
        <w:ind w:left="2160" w:right="720"/>
        <w:jc w:val="both"/>
        <w:rPr>
          <w:rFonts w:eastAsia="Times New Roman"/>
          <w:b/>
          <w:bCs/>
          <w:sz w:val="28"/>
          <w:szCs w:val="28"/>
        </w:rPr>
      </w:pPr>
      <w:r w:rsidRPr="00B63755">
        <w:rPr>
          <w:rFonts w:eastAsia="Times New Roman"/>
          <w:b/>
          <w:bCs/>
          <w:sz w:val="28"/>
          <w:szCs w:val="28"/>
        </w:rPr>
        <w:t xml:space="preserve">(i) Autopsy reports are testimonial evidence and the admission of autopsy </w:t>
      </w:r>
      <w:r w:rsidR="005633D5" w:rsidRPr="00B63755">
        <w:rPr>
          <w:rFonts w:eastAsia="Times New Roman"/>
          <w:b/>
          <w:bCs/>
          <w:sz w:val="28"/>
          <w:szCs w:val="28"/>
        </w:rPr>
        <w:t>report</w:t>
      </w:r>
      <w:r w:rsidR="00710685" w:rsidRPr="00B63755">
        <w:rPr>
          <w:rFonts w:eastAsia="Times New Roman"/>
          <w:b/>
          <w:bCs/>
          <w:sz w:val="28"/>
          <w:szCs w:val="28"/>
        </w:rPr>
        <w:t>s</w:t>
      </w:r>
      <w:r w:rsidR="005633D5" w:rsidRPr="00B63755">
        <w:rPr>
          <w:rFonts w:eastAsia="Times New Roman"/>
          <w:b/>
          <w:bCs/>
          <w:sz w:val="28"/>
          <w:szCs w:val="28"/>
        </w:rPr>
        <w:t xml:space="preserve"> </w:t>
      </w:r>
      <w:r w:rsidRPr="00B63755">
        <w:rPr>
          <w:rFonts w:eastAsia="Times New Roman"/>
          <w:b/>
          <w:bCs/>
          <w:sz w:val="28"/>
          <w:szCs w:val="28"/>
        </w:rPr>
        <w:t>through an expert witness who did not perform the autopsies, as well as that witness’s testimony,</w:t>
      </w:r>
      <w:r w:rsidR="006271C8" w:rsidRPr="00B63755">
        <w:rPr>
          <w:rFonts w:eastAsia="Times New Roman"/>
          <w:b/>
          <w:bCs/>
          <w:sz w:val="28"/>
          <w:szCs w:val="28"/>
        </w:rPr>
        <w:t xml:space="preserve"> </w:t>
      </w:r>
      <w:r w:rsidRPr="00B63755">
        <w:rPr>
          <w:rFonts w:eastAsia="Times New Roman"/>
          <w:b/>
          <w:bCs/>
          <w:sz w:val="28"/>
          <w:szCs w:val="28"/>
        </w:rPr>
        <w:t>violates a defendant</w:t>
      </w:r>
      <w:r w:rsidR="00086EDD" w:rsidRPr="00B63755">
        <w:rPr>
          <w:rFonts w:eastAsia="Times New Roman"/>
          <w:b/>
          <w:bCs/>
          <w:sz w:val="28"/>
          <w:szCs w:val="28"/>
        </w:rPr>
        <w:t>’</w:t>
      </w:r>
      <w:r w:rsidRPr="00B63755">
        <w:rPr>
          <w:rFonts w:eastAsia="Times New Roman"/>
          <w:b/>
          <w:bCs/>
          <w:sz w:val="28"/>
          <w:szCs w:val="28"/>
        </w:rPr>
        <w:t xml:space="preserve">s right to confrontation where the defendant had not been given a prior opportunity to cross-examine the performing medical examiner. </w:t>
      </w:r>
    </w:p>
    <w:p w14:paraId="5F43349A" w14:textId="77777777" w:rsidR="000121BA" w:rsidRPr="00B63755" w:rsidRDefault="000121BA" w:rsidP="00C95EA2">
      <w:pPr>
        <w:pStyle w:val="ListParagraph"/>
        <w:ind w:left="0"/>
        <w:rPr>
          <w:rFonts w:eastAsia="Times New Roman"/>
          <w:b/>
          <w:bCs/>
          <w:sz w:val="28"/>
          <w:szCs w:val="28"/>
        </w:rPr>
      </w:pPr>
    </w:p>
    <w:p w14:paraId="3435A43D" w14:textId="26E18AC1" w:rsidR="00B35E7C" w:rsidRPr="00B63755" w:rsidRDefault="00A24A77" w:rsidP="003C47E1">
      <w:pPr>
        <w:pStyle w:val="ListParagraph"/>
        <w:snapToGrid w:val="0"/>
        <w:ind w:left="2160" w:right="720"/>
        <w:jc w:val="both"/>
        <w:rPr>
          <w:rFonts w:eastAsia="Times New Roman"/>
          <w:b/>
          <w:bCs/>
          <w:sz w:val="28"/>
          <w:szCs w:val="28"/>
        </w:rPr>
      </w:pPr>
      <w:r>
        <w:rPr>
          <w:rFonts w:eastAsia="Times New Roman"/>
          <w:b/>
          <w:bCs/>
          <w:sz w:val="28"/>
          <w:szCs w:val="28"/>
        </w:rPr>
        <w:t>(ii)</w:t>
      </w:r>
      <w:r w:rsidR="00C95EA2" w:rsidRPr="00B63755">
        <w:rPr>
          <w:rFonts w:eastAsia="Times New Roman"/>
          <w:b/>
          <w:bCs/>
          <w:sz w:val="28"/>
          <w:szCs w:val="28"/>
        </w:rPr>
        <w:t xml:space="preserve"> </w:t>
      </w:r>
      <w:r w:rsidR="00B35E7C" w:rsidRPr="00B63755">
        <w:rPr>
          <w:rFonts w:eastAsia="Times New Roman"/>
          <w:b/>
          <w:bCs/>
          <w:sz w:val="28"/>
          <w:szCs w:val="28"/>
        </w:rPr>
        <w:t xml:space="preserve">An </w:t>
      </w:r>
      <w:r w:rsidR="00B35E7C" w:rsidRPr="00B63755">
        <w:rPr>
          <w:rFonts w:eastAsia="Times New Roman"/>
          <w:b/>
          <w:bCs/>
          <w:sz w:val="28"/>
          <w:szCs w:val="28"/>
          <w:lang w:val="x-none"/>
        </w:rPr>
        <w:t>expert</w:t>
      </w:r>
      <w:r w:rsidR="00B35E7C" w:rsidRPr="00B63755">
        <w:rPr>
          <w:rFonts w:eastAsia="Times New Roman"/>
          <w:b/>
          <w:bCs/>
          <w:sz w:val="28"/>
          <w:szCs w:val="28"/>
        </w:rPr>
        <w:t xml:space="preserve"> </w:t>
      </w:r>
      <w:r w:rsidR="00B35E7C" w:rsidRPr="00B63755">
        <w:rPr>
          <w:rFonts w:eastAsia="Times New Roman"/>
          <w:b/>
          <w:bCs/>
          <w:sz w:val="28"/>
          <w:szCs w:val="28"/>
          <w:lang w:val="x-none"/>
        </w:rPr>
        <w:t>medical examiner may</w:t>
      </w:r>
      <w:r w:rsidR="009C35C9" w:rsidRPr="00B63755">
        <w:rPr>
          <w:rFonts w:eastAsia="Times New Roman"/>
          <w:b/>
          <w:bCs/>
          <w:sz w:val="28"/>
          <w:szCs w:val="28"/>
        </w:rPr>
        <w:t>, however,</w:t>
      </w:r>
      <w:r w:rsidR="00B35E7C" w:rsidRPr="00B63755">
        <w:rPr>
          <w:rFonts w:eastAsia="Times New Roman"/>
          <w:b/>
          <w:bCs/>
          <w:sz w:val="28"/>
          <w:szCs w:val="28"/>
          <w:lang w:val="x-none"/>
        </w:rPr>
        <w:t xml:space="preserve"> offer conclusions as to the cause and manner of death, and surrounding</w:t>
      </w:r>
      <w:r w:rsidR="00B35E7C" w:rsidRPr="00B63755">
        <w:rPr>
          <w:rFonts w:eastAsia="Times New Roman"/>
          <w:b/>
          <w:bCs/>
          <w:sz w:val="28"/>
          <w:szCs w:val="28"/>
        </w:rPr>
        <w:t xml:space="preserve"> </w:t>
      </w:r>
      <w:r w:rsidR="00B35E7C" w:rsidRPr="00B63755">
        <w:rPr>
          <w:rFonts w:eastAsia="Times New Roman"/>
          <w:b/>
          <w:bCs/>
          <w:sz w:val="28"/>
          <w:szCs w:val="28"/>
          <w:lang w:val="x-none"/>
        </w:rPr>
        <w:t xml:space="preserve">circumstances, where that testifying expert </w:t>
      </w:r>
      <w:bookmarkStart w:id="0" w:name="_Hlk157693240"/>
      <w:r w:rsidR="00B35E7C" w:rsidRPr="00B63755">
        <w:rPr>
          <w:rFonts w:eastAsia="Times New Roman"/>
          <w:b/>
          <w:bCs/>
          <w:sz w:val="28"/>
          <w:szCs w:val="28"/>
          <w:lang w:val="x-none"/>
        </w:rPr>
        <w:t>performed, supervised, or observed the autopsy or used their</w:t>
      </w:r>
      <w:r w:rsidR="00B35E7C" w:rsidRPr="00B63755">
        <w:rPr>
          <w:rFonts w:eastAsia="Times New Roman"/>
          <w:b/>
          <w:bCs/>
          <w:sz w:val="28"/>
          <w:szCs w:val="28"/>
        </w:rPr>
        <w:t xml:space="preserve"> </w:t>
      </w:r>
      <w:r w:rsidR="00B35E7C" w:rsidRPr="00B63755">
        <w:rPr>
          <w:rFonts w:eastAsia="Times New Roman"/>
          <w:b/>
          <w:bCs/>
          <w:sz w:val="28"/>
          <w:szCs w:val="28"/>
          <w:lang w:val="x-none"/>
        </w:rPr>
        <w:t>independent analysis on the primary data</w:t>
      </w:r>
      <w:r w:rsidR="009E697D" w:rsidRPr="00B63755">
        <w:rPr>
          <w:rFonts w:eastAsia="Times New Roman"/>
          <w:b/>
          <w:bCs/>
          <w:sz w:val="28"/>
          <w:szCs w:val="28"/>
        </w:rPr>
        <w:t xml:space="preserve">. </w:t>
      </w:r>
      <w:bookmarkEnd w:id="0"/>
      <w:r w:rsidR="00B35E7C" w:rsidRPr="00B63755">
        <w:rPr>
          <w:rFonts w:eastAsia="Times New Roman"/>
          <w:b/>
          <w:bCs/>
          <w:sz w:val="28"/>
          <w:szCs w:val="28"/>
          <w:lang w:val="x-none"/>
        </w:rPr>
        <w:t>Autopsy photographs</w:t>
      </w:r>
      <w:r w:rsidR="00B35E7C" w:rsidRPr="00B63755">
        <w:rPr>
          <w:rFonts w:eastAsia="Times New Roman"/>
          <w:b/>
          <w:bCs/>
          <w:sz w:val="28"/>
          <w:szCs w:val="28"/>
        </w:rPr>
        <w:t xml:space="preserve"> </w:t>
      </w:r>
      <w:r w:rsidR="00B35E7C" w:rsidRPr="00B63755">
        <w:rPr>
          <w:rFonts w:eastAsia="Times New Roman"/>
          <w:b/>
          <w:bCs/>
          <w:sz w:val="28"/>
          <w:szCs w:val="28"/>
          <w:lang w:val="x-none"/>
        </w:rPr>
        <w:t>and video recordings of a conducted autopsy may properly be relied upon by a testifying witness</w:t>
      </w:r>
      <w:r w:rsidR="00B35E7C" w:rsidRPr="00B63755">
        <w:rPr>
          <w:rFonts w:eastAsia="Times New Roman"/>
          <w:b/>
          <w:bCs/>
          <w:sz w:val="28"/>
          <w:szCs w:val="28"/>
        </w:rPr>
        <w:t xml:space="preserve"> </w:t>
      </w:r>
      <w:r w:rsidR="00B35E7C" w:rsidRPr="00B63755">
        <w:rPr>
          <w:rFonts w:eastAsia="Times New Roman"/>
          <w:b/>
          <w:bCs/>
          <w:sz w:val="28"/>
          <w:szCs w:val="28"/>
          <w:lang w:val="x-none"/>
        </w:rPr>
        <w:t>reaching their own independent conclusions</w:t>
      </w:r>
      <w:r w:rsidR="00B35E7C" w:rsidRPr="00B63755">
        <w:rPr>
          <w:rFonts w:eastAsia="Times New Roman"/>
          <w:b/>
          <w:bCs/>
          <w:sz w:val="28"/>
          <w:szCs w:val="28"/>
        </w:rPr>
        <w:t xml:space="preserve">, as well as </w:t>
      </w:r>
      <w:r w:rsidR="00B35E7C" w:rsidRPr="00B63755">
        <w:rPr>
          <w:rFonts w:eastAsia="Times New Roman"/>
          <w:b/>
          <w:bCs/>
          <w:sz w:val="28"/>
          <w:szCs w:val="28"/>
          <w:lang w:val="x-none"/>
        </w:rPr>
        <w:t>standard anatomical measurements devoid of the</w:t>
      </w:r>
      <w:r w:rsidR="00B35E7C" w:rsidRPr="00B63755">
        <w:rPr>
          <w:rFonts w:eastAsia="Times New Roman"/>
          <w:b/>
          <w:bCs/>
          <w:sz w:val="28"/>
          <w:szCs w:val="28"/>
        </w:rPr>
        <w:t xml:space="preserve"> </w:t>
      </w:r>
      <w:r w:rsidR="00B35E7C" w:rsidRPr="00B63755">
        <w:rPr>
          <w:rFonts w:eastAsia="Times New Roman"/>
          <w:b/>
          <w:bCs/>
          <w:sz w:val="28"/>
          <w:szCs w:val="28"/>
          <w:lang w:val="x-none"/>
        </w:rPr>
        <w:t>subjective skill and judgment of the performing examiner</w:t>
      </w:r>
      <w:r w:rsidR="00B35E7C" w:rsidRPr="00B63755">
        <w:rPr>
          <w:rFonts w:eastAsia="Times New Roman"/>
          <w:b/>
          <w:bCs/>
          <w:sz w:val="28"/>
          <w:szCs w:val="28"/>
        </w:rPr>
        <w:t>.</w:t>
      </w:r>
      <w:r w:rsidR="004F4100" w:rsidRPr="00B63755">
        <w:rPr>
          <w:rFonts w:eastAsia="Times New Roman"/>
          <w:b/>
          <w:bCs/>
          <w:sz w:val="28"/>
          <w:szCs w:val="28"/>
        </w:rPr>
        <w:t xml:space="preserve"> </w:t>
      </w:r>
    </w:p>
    <w:p w14:paraId="2467BB40" w14:textId="77777777" w:rsidR="00C525B0" w:rsidRPr="00B63755" w:rsidRDefault="00C525B0" w:rsidP="00C95EA2">
      <w:pPr>
        <w:snapToGrid w:val="0"/>
        <w:ind w:right="576"/>
        <w:jc w:val="both"/>
        <w:rPr>
          <w:rFonts w:eastAsia="Times New Roman"/>
          <w:b/>
          <w:bCs/>
          <w:sz w:val="28"/>
          <w:szCs w:val="28"/>
        </w:rPr>
      </w:pPr>
    </w:p>
    <w:p w14:paraId="1DC1D224" w14:textId="5B207C76" w:rsidR="009D0E52" w:rsidRPr="00DC1609" w:rsidRDefault="003C47E1" w:rsidP="003C47E1">
      <w:pPr>
        <w:pStyle w:val="L6-1"/>
        <w:widowControl/>
        <w:numPr>
          <w:ilvl w:val="0"/>
          <w:numId w:val="5"/>
        </w:numPr>
        <w:tabs>
          <w:tab w:val="left" w:pos="2160"/>
          <w:tab w:val="left" w:pos="2880"/>
          <w:tab w:val="left" w:pos="3600"/>
          <w:tab w:val="left" w:pos="4320"/>
          <w:tab w:val="left" w:pos="5040"/>
          <w:tab w:val="left" w:pos="5760"/>
          <w:tab w:val="left" w:pos="6480"/>
          <w:tab w:val="left" w:pos="7200"/>
          <w:tab w:val="left" w:pos="7918"/>
        </w:tabs>
        <w:ind w:left="1440" w:right="720" w:firstLine="0"/>
        <w:rPr>
          <w:b/>
          <w:bCs/>
          <w:sz w:val="28"/>
          <w:szCs w:val="28"/>
        </w:rPr>
      </w:pPr>
      <w:r>
        <w:rPr>
          <w:b/>
          <w:bCs/>
          <w:sz w:val="28"/>
          <w:szCs w:val="28"/>
        </w:rPr>
        <w:t xml:space="preserve"> </w:t>
      </w:r>
      <w:r w:rsidR="00D8019A" w:rsidRPr="00B63755">
        <w:rPr>
          <w:b/>
          <w:bCs/>
          <w:sz w:val="28"/>
          <w:szCs w:val="28"/>
        </w:rPr>
        <w:t>Nontestimonial reports include</w:t>
      </w:r>
      <w:r w:rsidR="00DC1609" w:rsidRPr="00DC1609">
        <w:rPr>
          <w:b/>
          <w:bCs/>
          <w:color w:val="FF0000"/>
          <w:sz w:val="28"/>
          <w:szCs w:val="28"/>
        </w:rPr>
        <w:t xml:space="preserve"> </w:t>
      </w:r>
      <w:r w:rsidR="009D0E52" w:rsidRPr="00DC1609">
        <w:rPr>
          <w:b/>
          <w:bCs/>
          <w:sz w:val="28"/>
          <w:szCs w:val="28"/>
        </w:rPr>
        <w:t xml:space="preserve">documents pertaining to the routine inspection, </w:t>
      </w:r>
      <w:r w:rsidR="009D0E52" w:rsidRPr="00DC1609">
        <w:rPr>
          <w:b/>
          <w:bCs/>
          <w:sz w:val="28"/>
          <w:szCs w:val="28"/>
        </w:rPr>
        <w:lastRenderedPageBreak/>
        <w:t>maintenance, and calibration</w:t>
      </w:r>
      <w:r w:rsidR="008B57D9" w:rsidRPr="00DC1609">
        <w:rPr>
          <w:b/>
          <w:bCs/>
          <w:sz w:val="28"/>
          <w:szCs w:val="28"/>
        </w:rPr>
        <w:t xml:space="preserve"> of a breathalyzer machine</w:t>
      </w:r>
      <w:r w:rsidR="00D17ACA" w:rsidRPr="00DC1609">
        <w:rPr>
          <w:b/>
          <w:bCs/>
          <w:sz w:val="28"/>
          <w:szCs w:val="28"/>
        </w:rPr>
        <w:t>.</w:t>
      </w:r>
    </w:p>
    <w:p w14:paraId="5B79EFA4" w14:textId="77777777" w:rsidR="00991CF3" w:rsidRPr="00B63755" w:rsidRDefault="00991CF3" w:rsidP="00C95EA2">
      <w:pPr>
        <w:rPr>
          <w:b/>
          <w:bCs/>
          <w:sz w:val="28"/>
          <w:szCs w:val="28"/>
        </w:rPr>
      </w:pPr>
    </w:p>
    <w:p w14:paraId="5F84F5F2" w14:textId="1D7BA74C" w:rsidR="00BB2AB1" w:rsidRPr="00DC1609" w:rsidRDefault="00BB2AB1" w:rsidP="006C2384">
      <w:pPr>
        <w:ind w:left="720"/>
        <w:jc w:val="both"/>
        <w:rPr>
          <w:b/>
          <w:bCs/>
          <w:sz w:val="28"/>
          <w:szCs w:val="28"/>
        </w:rPr>
      </w:pPr>
      <w:r w:rsidRPr="00DC1609">
        <w:rPr>
          <w:b/>
          <w:bCs/>
          <w:sz w:val="28"/>
          <w:szCs w:val="28"/>
        </w:rPr>
        <w:t xml:space="preserve">(7) DNA Evidence. </w:t>
      </w:r>
      <w:r w:rsidR="005826E8" w:rsidRPr="00DC1609">
        <w:rPr>
          <w:b/>
          <w:bCs/>
          <w:sz w:val="28"/>
          <w:szCs w:val="28"/>
        </w:rPr>
        <w:t>See Guide to N</w:t>
      </w:r>
      <w:r w:rsidR="005E42C0">
        <w:rPr>
          <w:b/>
          <w:bCs/>
          <w:sz w:val="28"/>
          <w:szCs w:val="28"/>
        </w:rPr>
        <w:t>Y</w:t>
      </w:r>
      <w:r w:rsidR="005826E8" w:rsidRPr="00DC1609">
        <w:rPr>
          <w:b/>
          <w:bCs/>
          <w:sz w:val="28"/>
          <w:szCs w:val="28"/>
        </w:rPr>
        <w:t xml:space="preserve"> Evidence </w:t>
      </w:r>
      <w:r w:rsidR="009726D6" w:rsidRPr="00DC1609">
        <w:rPr>
          <w:b/>
          <w:bCs/>
          <w:sz w:val="28"/>
          <w:szCs w:val="28"/>
        </w:rPr>
        <w:t xml:space="preserve">rule </w:t>
      </w:r>
      <w:r w:rsidR="005826E8" w:rsidRPr="00DC1609">
        <w:rPr>
          <w:b/>
          <w:bCs/>
          <w:sz w:val="28"/>
          <w:szCs w:val="28"/>
        </w:rPr>
        <w:t xml:space="preserve">7.21 </w:t>
      </w:r>
      <w:r w:rsidR="00DF4323" w:rsidRPr="00DC1609">
        <w:rPr>
          <w:b/>
          <w:bCs/>
          <w:sz w:val="28"/>
          <w:szCs w:val="28"/>
        </w:rPr>
        <w:t>(</w:t>
      </w:r>
      <w:r w:rsidR="005826E8" w:rsidRPr="00DC1609">
        <w:rPr>
          <w:b/>
          <w:bCs/>
          <w:sz w:val="28"/>
          <w:szCs w:val="28"/>
        </w:rPr>
        <w:t>DNA</w:t>
      </w:r>
      <w:r w:rsidR="00876366" w:rsidRPr="00DC1609">
        <w:rPr>
          <w:b/>
          <w:bCs/>
          <w:sz w:val="28"/>
          <w:szCs w:val="28"/>
        </w:rPr>
        <w:t xml:space="preserve"> Evidence</w:t>
      </w:r>
      <w:r w:rsidR="00DF4323" w:rsidRPr="00DC1609">
        <w:rPr>
          <w:b/>
          <w:bCs/>
          <w:sz w:val="28"/>
          <w:szCs w:val="28"/>
        </w:rPr>
        <w:t>)</w:t>
      </w:r>
      <w:r w:rsidR="00876366" w:rsidRPr="00DC1609">
        <w:rPr>
          <w:b/>
          <w:bCs/>
          <w:sz w:val="28"/>
          <w:szCs w:val="28"/>
        </w:rPr>
        <w:t>.</w:t>
      </w:r>
    </w:p>
    <w:p w14:paraId="2BEEB211" w14:textId="77777777" w:rsidR="00BB2AB1" w:rsidRPr="00B63755" w:rsidRDefault="00BB2AB1" w:rsidP="00C95EA2">
      <w:pPr>
        <w:rPr>
          <w:b/>
          <w:bCs/>
          <w:sz w:val="28"/>
          <w:szCs w:val="28"/>
        </w:rPr>
      </w:pPr>
    </w:p>
    <w:p w14:paraId="6D85F9C5" w14:textId="3F31FE82" w:rsidR="003600DC" w:rsidRPr="00B63755" w:rsidRDefault="00E64FEC" w:rsidP="009726D6">
      <w:pPr>
        <w:ind w:left="720"/>
        <w:rPr>
          <w:b/>
          <w:bCs/>
          <w:sz w:val="28"/>
          <w:szCs w:val="28"/>
        </w:rPr>
      </w:pPr>
      <w:r w:rsidRPr="00B63755">
        <w:rPr>
          <w:b/>
          <w:bCs/>
          <w:sz w:val="28"/>
          <w:szCs w:val="28"/>
        </w:rPr>
        <w:t>(</w:t>
      </w:r>
      <w:r w:rsidR="003600DC" w:rsidRPr="00B63755">
        <w:rPr>
          <w:b/>
          <w:bCs/>
          <w:sz w:val="28"/>
          <w:szCs w:val="28"/>
        </w:rPr>
        <w:t>8</w:t>
      </w:r>
      <w:r w:rsidRPr="00B63755">
        <w:rPr>
          <w:b/>
          <w:bCs/>
          <w:sz w:val="28"/>
          <w:szCs w:val="28"/>
        </w:rPr>
        <w:t>) “Opening the door evidence.”</w:t>
      </w:r>
      <w:r w:rsidR="008509A8" w:rsidRPr="00B63755">
        <w:rPr>
          <w:b/>
          <w:bCs/>
          <w:sz w:val="28"/>
          <w:szCs w:val="28"/>
        </w:rPr>
        <w:t xml:space="preserve"> </w:t>
      </w:r>
    </w:p>
    <w:p w14:paraId="72DC9D4D" w14:textId="77777777" w:rsidR="003600DC" w:rsidRPr="00B63755" w:rsidRDefault="003600DC" w:rsidP="00C95EA2">
      <w:pPr>
        <w:rPr>
          <w:b/>
          <w:bCs/>
          <w:sz w:val="28"/>
          <w:szCs w:val="28"/>
        </w:rPr>
      </w:pPr>
    </w:p>
    <w:p w14:paraId="79A80FEB" w14:textId="2B6A0842" w:rsidR="00E64FEC" w:rsidRPr="00B63755" w:rsidRDefault="00E64FEC" w:rsidP="003600DC">
      <w:pPr>
        <w:ind w:left="720"/>
        <w:jc w:val="both"/>
        <w:rPr>
          <w:b/>
          <w:bCs/>
          <w:sz w:val="28"/>
          <w:szCs w:val="28"/>
        </w:rPr>
      </w:pPr>
      <w:r w:rsidRPr="00B63755">
        <w:rPr>
          <w:b/>
          <w:bCs/>
          <w:sz w:val="28"/>
          <w:szCs w:val="28"/>
        </w:rPr>
        <w:t xml:space="preserve">Unconfronted testimonial hearsay is not admissible in response to evidence introduced by a defendant in a criminal case that is misleading </w:t>
      </w:r>
      <w:r w:rsidR="00514F1A" w:rsidRPr="00B63755">
        <w:rPr>
          <w:b/>
          <w:bCs/>
          <w:sz w:val="28"/>
          <w:szCs w:val="28"/>
        </w:rPr>
        <w:t xml:space="preserve">even though the misleading evidence </w:t>
      </w:r>
      <w:r w:rsidRPr="00B63755">
        <w:rPr>
          <w:b/>
          <w:bCs/>
          <w:sz w:val="28"/>
          <w:szCs w:val="28"/>
        </w:rPr>
        <w:t>would be subject to correction by the unconfronted testimonial hearsay.</w:t>
      </w:r>
    </w:p>
    <w:p w14:paraId="0B7F351A" w14:textId="77777777" w:rsidR="00E64FEC" w:rsidRPr="00B63755" w:rsidRDefault="00E64FEC" w:rsidP="00D8411D">
      <w:pPr>
        <w:pStyle w:val="ListParagra"/>
        <w:widowControl/>
        <w:numPr>
          <w:ilvl w:val="12"/>
          <w:numId w:val="0"/>
        </w:numPr>
        <w:tabs>
          <w:tab w:val="left" w:pos="2159"/>
          <w:tab w:val="left" w:pos="2879"/>
          <w:tab w:val="left" w:pos="3599"/>
          <w:tab w:val="left" w:pos="4319"/>
          <w:tab w:val="left" w:pos="5039"/>
          <w:tab w:val="left" w:pos="5759"/>
          <w:tab w:val="left" w:pos="6479"/>
          <w:tab w:val="left" w:pos="7198"/>
        </w:tabs>
        <w:spacing w:after="0" w:line="240" w:lineRule="auto"/>
        <w:ind w:right="720"/>
        <w:rPr>
          <w:rFonts w:ascii="Times New Roman" w:hAnsi="Times New Roman" w:cs="Times New Roman"/>
          <w:b/>
          <w:bCs/>
          <w:sz w:val="28"/>
          <w:szCs w:val="28"/>
        </w:rPr>
      </w:pPr>
    </w:p>
    <w:p w14:paraId="40CF952B" w14:textId="77777777" w:rsidR="009D0E52" w:rsidRPr="00B63755"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B63755">
        <w:rPr>
          <w:b/>
          <w:bCs/>
          <w:sz w:val="24"/>
          <w:szCs w:val="24"/>
        </w:rPr>
        <w:t>Note</w:t>
      </w:r>
    </w:p>
    <w:p w14:paraId="769A5D06" w14:textId="77777777" w:rsidR="0002746C" w:rsidRPr="00B63755"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sz w:val="24"/>
          <w:szCs w:val="24"/>
        </w:rPr>
      </w:pPr>
    </w:p>
    <w:p w14:paraId="1AEF972F" w14:textId="5A6BEA57" w:rsidR="009D0E52" w:rsidRPr="00B63755"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63755">
        <w:rPr>
          <w:sz w:val="24"/>
          <w:szCs w:val="24"/>
        </w:rPr>
        <w:tab/>
      </w:r>
      <w:r w:rsidRPr="00B63755">
        <w:rPr>
          <w:b/>
          <w:bCs/>
          <w:sz w:val="24"/>
          <w:szCs w:val="24"/>
        </w:rPr>
        <w:t>Subdivision (1)</w:t>
      </w:r>
      <w:r w:rsidR="00150CEF" w:rsidRPr="00B63755">
        <w:rPr>
          <w:sz w:val="24"/>
          <w:szCs w:val="24"/>
        </w:rPr>
        <w:t xml:space="preserve">. </w:t>
      </w:r>
      <w:r w:rsidRPr="00B63755">
        <w:rPr>
          <w:sz w:val="24"/>
          <w:szCs w:val="24"/>
        </w:rPr>
        <w:t>The Confrontation Clause of the US Constitution Sixth Amendment requires that “[i]n all criminal prosecutions, the accused shall enjoy the right . . . to be confronted with the witnesses against him.” That Clause applies to the states through the Fourteenth Amendment of the US Constitution (</w:t>
      </w:r>
      <w:r w:rsidRPr="00B63755">
        <w:rPr>
          <w:i/>
          <w:iCs/>
          <w:sz w:val="24"/>
          <w:szCs w:val="24"/>
        </w:rPr>
        <w:t>Pointer v Texas</w:t>
      </w:r>
      <w:r w:rsidRPr="00B63755">
        <w:rPr>
          <w:sz w:val="24"/>
          <w:szCs w:val="24"/>
        </w:rPr>
        <w:t>,</w:t>
      </w:r>
      <w:r w:rsidRPr="00B63755">
        <w:rPr>
          <w:i/>
          <w:iCs/>
          <w:sz w:val="24"/>
          <w:szCs w:val="24"/>
        </w:rPr>
        <w:t xml:space="preserve"> </w:t>
      </w:r>
      <w:r w:rsidRPr="00B63755">
        <w:rPr>
          <w:sz w:val="24"/>
          <w:szCs w:val="24"/>
        </w:rPr>
        <w:t>380 US 400, 406 [1965]), and therefore limits the admissibility of “testimonial” hearsay statements that may otherwise be admissible under state law.</w:t>
      </w:r>
    </w:p>
    <w:p w14:paraId="74879E0B" w14:textId="77777777" w:rsidR="0002746C" w:rsidRPr="00B63755"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1C70023" w14:textId="77777777" w:rsidR="009D0E52" w:rsidRPr="00B63755"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63755">
        <w:rPr>
          <w:i/>
          <w:iCs/>
          <w:sz w:val="24"/>
          <w:szCs w:val="24"/>
        </w:rPr>
        <w:tab/>
      </w:r>
      <w:r w:rsidRPr="00B63755">
        <w:rPr>
          <w:sz w:val="24"/>
          <w:szCs w:val="24"/>
        </w:rPr>
        <w:t xml:space="preserve">The parameters of “confrontation” are defined in subdivision (1) in accord with </w:t>
      </w:r>
      <w:r w:rsidRPr="00B63755">
        <w:rPr>
          <w:i/>
          <w:iCs/>
          <w:sz w:val="24"/>
          <w:szCs w:val="24"/>
        </w:rPr>
        <w:t xml:space="preserve">Crawford v Washington </w:t>
      </w:r>
      <w:r w:rsidRPr="00B63755">
        <w:rPr>
          <w:sz w:val="24"/>
          <w:szCs w:val="24"/>
        </w:rPr>
        <w:t xml:space="preserve">(541 US 36, 42 [2004]) and </w:t>
      </w:r>
      <w:r w:rsidRPr="00B63755">
        <w:rPr>
          <w:i/>
          <w:iCs/>
          <w:sz w:val="24"/>
          <w:szCs w:val="24"/>
        </w:rPr>
        <w:t>Giles v California</w:t>
      </w:r>
      <w:r w:rsidRPr="00B63755">
        <w:rPr>
          <w:sz w:val="24"/>
          <w:szCs w:val="24"/>
        </w:rPr>
        <w:t xml:space="preserve"> (554 US 353, 367 [2008]).</w:t>
      </w:r>
    </w:p>
    <w:p w14:paraId="1A5D072C" w14:textId="77777777" w:rsidR="0002746C" w:rsidRPr="00B63755"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DE8EF42" w14:textId="77777777" w:rsidR="009D0E52" w:rsidRPr="00B63755"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63755">
        <w:rPr>
          <w:sz w:val="24"/>
          <w:szCs w:val="24"/>
        </w:rPr>
        <w:tab/>
        <w:t xml:space="preserve">In </w:t>
      </w:r>
      <w:r w:rsidRPr="00B63755">
        <w:rPr>
          <w:i/>
          <w:iCs/>
          <w:sz w:val="24"/>
          <w:szCs w:val="24"/>
        </w:rPr>
        <w:t>Crawford</w:t>
      </w:r>
      <w:r w:rsidRPr="00B63755">
        <w:rPr>
          <w:sz w:val="24"/>
          <w:szCs w:val="24"/>
        </w:rPr>
        <w:t>,</w:t>
      </w:r>
      <w:r w:rsidRPr="00B63755">
        <w:rPr>
          <w:i/>
          <w:iCs/>
          <w:sz w:val="24"/>
          <w:szCs w:val="24"/>
        </w:rPr>
        <w:t xml:space="preserve"> </w:t>
      </w:r>
      <w:r w:rsidRPr="00B63755">
        <w:rPr>
          <w:sz w:val="24"/>
          <w:szCs w:val="24"/>
        </w:rPr>
        <w:t>the Supreme Court held that</w:t>
      </w:r>
    </w:p>
    <w:p w14:paraId="6C2FB3BB" w14:textId="77777777" w:rsidR="0002746C" w:rsidRPr="00B63755"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D0EF767" w14:textId="29AFF27B" w:rsidR="009D0E52" w:rsidRPr="00B63755" w:rsidRDefault="009D0E52" w:rsidP="00D8411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ind w:left="720"/>
        <w:jc w:val="both"/>
        <w:rPr>
          <w:sz w:val="24"/>
          <w:szCs w:val="24"/>
        </w:rPr>
      </w:pPr>
      <w:r w:rsidRPr="00B63755">
        <w:rPr>
          <w:sz w:val="24"/>
          <w:szCs w:val="24"/>
        </w:rPr>
        <w:t>“[w]here nontestimonial hearsay is at issue, it is wholly consistent with the Framers</w:t>
      </w:r>
      <w:r w:rsidR="00C4367D" w:rsidRPr="00B63755">
        <w:rPr>
          <w:sz w:val="24"/>
          <w:szCs w:val="24"/>
        </w:rPr>
        <w:t>’</w:t>
      </w:r>
      <w:r w:rsidRPr="00B63755">
        <w:rPr>
          <w:sz w:val="24"/>
          <w:szCs w:val="24"/>
        </w:rPr>
        <w:t xml:space="preserve"> design to afford the States flexibility in their development of hearsay law . . . . Where testimonial evidence is at issue, however, the Sixth Amendment demands what the common law required: unavailability and a prior opportunity for cross-examination</w:t>
      </w:r>
      <w:r w:rsidR="008509A8" w:rsidRPr="00B63755">
        <w:rPr>
          <w:sz w:val="24"/>
          <w:szCs w:val="24"/>
        </w:rPr>
        <w:t xml:space="preserve">” </w:t>
      </w:r>
      <w:r w:rsidRPr="00B63755">
        <w:rPr>
          <w:sz w:val="24"/>
          <w:szCs w:val="24"/>
        </w:rPr>
        <w:t>(</w:t>
      </w:r>
      <w:r w:rsidRPr="00B63755">
        <w:rPr>
          <w:i/>
          <w:iCs/>
          <w:sz w:val="24"/>
          <w:szCs w:val="24"/>
        </w:rPr>
        <w:t>Crawford v Washington</w:t>
      </w:r>
      <w:r w:rsidR="0002746C" w:rsidRPr="00B63755">
        <w:rPr>
          <w:sz w:val="24"/>
          <w:szCs w:val="24"/>
        </w:rPr>
        <w:t>, 541 US at 68).</w:t>
      </w:r>
    </w:p>
    <w:p w14:paraId="42362EF7" w14:textId="77777777" w:rsidR="0002746C" w:rsidRPr="00B63755" w:rsidRDefault="0002746C" w:rsidP="00D8411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3B4A002" w14:textId="4249BC02" w:rsidR="009D0E52" w:rsidRPr="00B63755"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63755">
        <w:rPr>
          <w:sz w:val="24"/>
          <w:szCs w:val="24"/>
        </w:rPr>
        <w:tab/>
      </w:r>
      <w:r w:rsidRPr="00B63755">
        <w:rPr>
          <w:i/>
          <w:iCs/>
          <w:sz w:val="24"/>
          <w:szCs w:val="24"/>
        </w:rPr>
        <w:t>Crawfor</w:t>
      </w:r>
      <w:r w:rsidRPr="00B63755">
        <w:rPr>
          <w:sz w:val="24"/>
          <w:szCs w:val="24"/>
        </w:rPr>
        <w:t>d,</w:t>
      </w:r>
      <w:r w:rsidRPr="00B63755">
        <w:rPr>
          <w:i/>
          <w:iCs/>
          <w:sz w:val="24"/>
          <w:szCs w:val="24"/>
        </w:rPr>
        <w:t xml:space="preserve"> </w:t>
      </w:r>
      <w:r w:rsidRPr="00B63755">
        <w:rPr>
          <w:sz w:val="24"/>
          <w:szCs w:val="24"/>
        </w:rPr>
        <w:t>however,</w:t>
      </w:r>
      <w:r w:rsidRPr="00B63755">
        <w:rPr>
          <w:i/>
          <w:iCs/>
          <w:sz w:val="24"/>
          <w:szCs w:val="24"/>
        </w:rPr>
        <w:t xml:space="preserve"> </w:t>
      </w:r>
      <w:r w:rsidRPr="00B63755">
        <w:rPr>
          <w:sz w:val="24"/>
          <w:szCs w:val="24"/>
        </w:rPr>
        <w:t>does not extend to a testimonial statement admitted “for purposes other than establishing the truth of the matter asserted</w:t>
      </w:r>
      <w:r w:rsidR="008509A8" w:rsidRPr="00B63755">
        <w:rPr>
          <w:sz w:val="24"/>
          <w:szCs w:val="24"/>
        </w:rPr>
        <w:t>”</w:t>
      </w:r>
      <w:r w:rsidRPr="00B63755">
        <w:rPr>
          <w:sz w:val="24"/>
          <w:szCs w:val="24"/>
        </w:rPr>
        <w:t xml:space="preserve"> (</w:t>
      </w:r>
      <w:r w:rsidRPr="00B63755">
        <w:rPr>
          <w:i/>
          <w:iCs/>
          <w:sz w:val="24"/>
          <w:szCs w:val="24"/>
        </w:rPr>
        <w:t>Crawford v Washington</w:t>
      </w:r>
      <w:r w:rsidRPr="00B63755">
        <w:rPr>
          <w:sz w:val="24"/>
          <w:szCs w:val="24"/>
        </w:rPr>
        <w:t xml:space="preserve">, 541 US at 59 n 9; </w:t>
      </w:r>
      <w:r w:rsidRPr="00B63755">
        <w:rPr>
          <w:i/>
          <w:iCs/>
          <w:sz w:val="24"/>
          <w:szCs w:val="24"/>
        </w:rPr>
        <w:t>Williams v Illinois</w:t>
      </w:r>
      <w:r w:rsidRPr="00B63755">
        <w:rPr>
          <w:sz w:val="24"/>
          <w:szCs w:val="24"/>
        </w:rPr>
        <w:t>,</w:t>
      </w:r>
      <w:r w:rsidRPr="00B63755">
        <w:rPr>
          <w:i/>
          <w:iCs/>
          <w:sz w:val="24"/>
          <w:szCs w:val="24"/>
        </w:rPr>
        <w:t xml:space="preserve"> </w:t>
      </w:r>
      <w:r w:rsidRPr="00B63755">
        <w:rPr>
          <w:sz w:val="24"/>
          <w:szCs w:val="24"/>
        </w:rPr>
        <w:t xml:space="preserve">567 US 50, 57-58 [2012] [plurality op], and at 125-126 [dissenting op]; </w:t>
      </w:r>
      <w:r w:rsidRPr="00B63755">
        <w:rPr>
          <w:i/>
          <w:iCs/>
          <w:sz w:val="24"/>
          <w:szCs w:val="24"/>
        </w:rPr>
        <w:t>People v Garcia</w:t>
      </w:r>
      <w:r w:rsidRPr="00B63755">
        <w:rPr>
          <w:sz w:val="24"/>
          <w:szCs w:val="24"/>
        </w:rPr>
        <w:t xml:space="preserve">, 25 NY3d 77, 86 [2015]; </w:t>
      </w:r>
      <w:r w:rsidRPr="00B63755">
        <w:rPr>
          <w:i/>
          <w:iCs/>
          <w:sz w:val="24"/>
          <w:szCs w:val="24"/>
        </w:rPr>
        <w:t>People v Reynoso</w:t>
      </w:r>
      <w:r w:rsidR="0002746C" w:rsidRPr="00B63755">
        <w:rPr>
          <w:sz w:val="24"/>
          <w:szCs w:val="24"/>
        </w:rPr>
        <w:t>, 2 NY3d 820, 821 [2004]).</w:t>
      </w:r>
    </w:p>
    <w:p w14:paraId="336B443E" w14:textId="77777777" w:rsidR="0002746C" w:rsidRPr="00B63755"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525DE5C" w14:textId="1DEB2EE8" w:rsidR="009D0E52" w:rsidRPr="00B63755"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63755">
        <w:rPr>
          <w:sz w:val="24"/>
          <w:szCs w:val="24"/>
        </w:rPr>
        <w:lastRenderedPageBreak/>
        <w:tab/>
        <w:t xml:space="preserve">Nor does </w:t>
      </w:r>
      <w:r w:rsidRPr="00B63755">
        <w:rPr>
          <w:i/>
          <w:iCs/>
          <w:sz w:val="24"/>
          <w:szCs w:val="24"/>
        </w:rPr>
        <w:t>Crawford</w:t>
      </w:r>
      <w:r w:rsidRPr="00B63755">
        <w:rPr>
          <w:sz w:val="24"/>
          <w:szCs w:val="24"/>
        </w:rPr>
        <w:t xml:space="preserve"> apply to the admission of testimonial statements at a sentencing proceeding (</w:t>
      </w:r>
      <w:r w:rsidRPr="00B63755">
        <w:rPr>
          <w:i/>
          <w:iCs/>
          <w:sz w:val="24"/>
          <w:szCs w:val="24"/>
        </w:rPr>
        <w:t>People v Leon</w:t>
      </w:r>
      <w:r w:rsidRPr="00B63755">
        <w:rPr>
          <w:sz w:val="24"/>
          <w:szCs w:val="24"/>
        </w:rPr>
        <w:t>, 10 NY3d 122, 125-126 [2008]),</w:t>
      </w:r>
      <w:r w:rsidR="0002746C" w:rsidRPr="00B63755">
        <w:rPr>
          <w:sz w:val="24"/>
          <w:szCs w:val="24"/>
        </w:rPr>
        <w:t xml:space="preserve"> or in a grand jury </w:t>
      </w:r>
      <w:r w:rsidR="0002746C" w:rsidRPr="00BD2BC2">
        <w:rPr>
          <w:sz w:val="24"/>
          <w:szCs w:val="24"/>
        </w:rPr>
        <w:t>proceeding</w:t>
      </w:r>
      <w:r w:rsidR="00921D39" w:rsidRPr="00BD2BC2">
        <w:rPr>
          <w:sz w:val="24"/>
          <w:szCs w:val="24"/>
        </w:rPr>
        <w:t xml:space="preserve"> where there is no right of confrontation.</w:t>
      </w:r>
    </w:p>
    <w:p w14:paraId="08D02F1D" w14:textId="77777777" w:rsidR="0002746C" w:rsidRPr="00B63755"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9732DA4" w14:textId="2DDE00ED" w:rsidR="009D0E52" w:rsidRPr="00B63755"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63755">
        <w:rPr>
          <w:sz w:val="24"/>
          <w:szCs w:val="24"/>
        </w:rPr>
        <w:tab/>
        <w:t>Last, a defendant may forfeit the right of confrontation where the defendant engaged or acquiesced in wrongdoing that was intended to and did procure the witness’s unavailability (</w:t>
      </w:r>
      <w:r w:rsidRPr="00B63755">
        <w:rPr>
          <w:i/>
          <w:iCs/>
          <w:sz w:val="24"/>
          <w:szCs w:val="24"/>
        </w:rPr>
        <w:t>Giles</w:t>
      </w:r>
      <w:r w:rsidRPr="00B63755">
        <w:rPr>
          <w:sz w:val="24"/>
          <w:szCs w:val="24"/>
        </w:rPr>
        <w:t xml:space="preserve">; </w:t>
      </w:r>
      <w:r w:rsidRPr="00B63755">
        <w:rPr>
          <w:i/>
          <w:iCs/>
          <w:sz w:val="24"/>
          <w:szCs w:val="24"/>
        </w:rPr>
        <w:t>see</w:t>
      </w:r>
      <w:r w:rsidRPr="00B63755">
        <w:rPr>
          <w:sz w:val="24"/>
          <w:szCs w:val="24"/>
        </w:rPr>
        <w:t xml:space="preserve"> Guide to NY Evid rule 8.19, Forfeiture by Wrongdoing; Fed Rules Evid rule 804 [b] [6]; </w:t>
      </w:r>
      <w:r w:rsidRPr="00B63755">
        <w:rPr>
          <w:i/>
          <w:iCs/>
          <w:sz w:val="24"/>
          <w:szCs w:val="24"/>
        </w:rPr>
        <w:t>see also People v Geraci</w:t>
      </w:r>
      <w:r w:rsidRPr="00B63755">
        <w:rPr>
          <w:sz w:val="24"/>
          <w:szCs w:val="24"/>
        </w:rPr>
        <w:t>, 85 NY2d 359, 366 [1995] [“out-of-court statements, including Grand Jury testimony, may be admitted as direct evidence where the witness is unavailable to testify at trial and the proof establishes that the witness’s unavailability was procured by misconduct o</w:t>
      </w:r>
      <w:r w:rsidR="0002746C" w:rsidRPr="00B63755">
        <w:rPr>
          <w:sz w:val="24"/>
          <w:szCs w:val="24"/>
        </w:rPr>
        <w:t>n the part of the defendant”]).</w:t>
      </w:r>
    </w:p>
    <w:p w14:paraId="42AAAB25" w14:textId="77777777" w:rsidR="0002746C" w:rsidRPr="00B63755"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874779F" w14:textId="6E647348" w:rsidR="009D0E52" w:rsidRPr="00B63755"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63755">
        <w:rPr>
          <w:sz w:val="24"/>
          <w:szCs w:val="24"/>
        </w:rPr>
        <w:tab/>
      </w:r>
      <w:r w:rsidRPr="00B63755">
        <w:rPr>
          <w:b/>
          <w:bCs/>
          <w:sz w:val="24"/>
          <w:szCs w:val="24"/>
        </w:rPr>
        <w:t xml:space="preserve">Subdivision (2) (a) </w:t>
      </w:r>
      <w:r w:rsidRPr="00B63755">
        <w:rPr>
          <w:sz w:val="24"/>
          <w:szCs w:val="24"/>
        </w:rPr>
        <w:t>is derived from</w:t>
      </w:r>
      <w:r w:rsidRPr="00B63755">
        <w:rPr>
          <w:i/>
          <w:iCs/>
          <w:sz w:val="24"/>
          <w:szCs w:val="24"/>
        </w:rPr>
        <w:t xml:space="preserve"> Crawford</w:t>
      </w:r>
      <w:r w:rsidR="00086EDD" w:rsidRPr="00B63755">
        <w:rPr>
          <w:sz w:val="24"/>
          <w:szCs w:val="24"/>
        </w:rPr>
        <w:t>’s</w:t>
      </w:r>
      <w:r w:rsidRPr="00B63755">
        <w:rPr>
          <w:i/>
          <w:iCs/>
          <w:sz w:val="24"/>
          <w:szCs w:val="24"/>
        </w:rPr>
        <w:t xml:space="preserve"> </w:t>
      </w:r>
      <w:r w:rsidRPr="00B63755">
        <w:rPr>
          <w:sz w:val="24"/>
          <w:szCs w:val="24"/>
        </w:rPr>
        <w:t>declaration that “[w]hatever else the term [testimonial evidence] covers, it applies at a minimum to prior testimony at a preliminary hearing, before a grand jury, or at a former trial</w:t>
      </w:r>
      <w:r w:rsidR="00C4367D" w:rsidRPr="00B63755">
        <w:rPr>
          <w:sz w:val="24"/>
          <w:szCs w:val="24"/>
        </w:rPr>
        <w:t>”</w:t>
      </w:r>
      <w:r w:rsidRPr="00B63755">
        <w:rPr>
          <w:sz w:val="24"/>
          <w:szCs w:val="24"/>
        </w:rPr>
        <w:t xml:space="preserve"> (</w:t>
      </w:r>
      <w:r w:rsidRPr="00B63755">
        <w:rPr>
          <w:i/>
          <w:iCs/>
          <w:sz w:val="24"/>
          <w:szCs w:val="24"/>
        </w:rPr>
        <w:t>Crawford</w:t>
      </w:r>
      <w:r w:rsidR="0002746C" w:rsidRPr="00B63755">
        <w:rPr>
          <w:sz w:val="24"/>
          <w:szCs w:val="24"/>
        </w:rPr>
        <w:t>, 541 US at 68).</w:t>
      </w:r>
    </w:p>
    <w:p w14:paraId="171DC5B0" w14:textId="77777777" w:rsidR="0002746C" w:rsidRPr="00B63755"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C35A9E1" w14:textId="7078877D" w:rsidR="009D0E52" w:rsidRPr="00B63755"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63755">
        <w:rPr>
          <w:sz w:val="24"/>
          <w:szCs w:val="24"/>
        </w:rPr>
        <w:tab/>
      </w:r>
      <w:r w:rsidRPr="00B63755">
        <w:rPr>
          <w:b/>
          <w:bCs/>
          <w:sz w:val="24"/>
          <w:szCs w:val="24"/>
        </w:rPr>
        <w:t>Subdivision (2) (</w:t>
      </w:r>
      <w:r w:rsidR="00101E7D" w:rsidRPr="00B63755">
        <w:rPr>
          <w:b/>
          <w:bCs/>
          <w:sz w:val="24"/>
          <w:szCs w:val="24"/>
        </w:rPr>
        <w:t>b</w:t>
      </w:r>
      <w:r w:rsidRPr="00B63755">
        <w:rPr>
          <w:b/>
          <w:bCs/>
          <w:sz w:val="24"/>
          <w:szCs w:val="24"/>
        </w:rPr>
        <w:t>) (i</w:t>
      </w:r>
      <w:r w:rsidRPr="00B63755">
        <w:rPr>
          <w:sz w:val="24"/>
          <w:szCs w:val="24"/>
        </w:rPr>
        <w:t xml:space="preserve">) is derived from </w:t>
      </w:r>
      <w:r w:rsidRPr="00B63755">
        <w:rPr>
          <w:i/>
          <w:iCs/>
          <w:sz w:val="24"/>
          <w:szCs w:val="24"/>
        </w:rPr>
        <w:t>Crawford</w:t>
      </w:r>
      <w:r w:rsidRPr="00B63755">
        <w:rPr>
          <w:sz w:val="24"/>
          <w:szCs w:val="24"/>
        </w:rPr>
        <w:t xml:space="preserve"> (541 US at 68), which itself directly held inadmissible a witness</w:t>
      </w:r>
      <w:r w:rsidR="00C4367D" w:rsidRPr="00B63755">
        <w:rPr>
          <w:sz w:val="24"/>
          <w:szCs w:val="24"/>
        </w:rPr>
        <w:t>’</w:t>
      </w:r>
      <w:r w:rsidRPr="00B63755">
        <w:rPr>
          <w:sz w:val="24"/>
          <w:szCs w:val="24"/>
        </w:rPr>
        <w:t xml:space="preserve">s statement obtained by formal station house interrogation (541 US at 68); and </w:t>
      </w:r>
      <w:r w:rsidRPr="00B63755">
        <w:rPr>
          <w:i/>
          <w:iCs/>
          <w:sz w:val="24"/>
          <w:szCs w:val="24"/>
        </w:rPr>
        <w:t>Michigan v Bryant</w:t>
      </w:r>
      <w:r w:rsidRPr="00B63755">
        <w:rPr>
          <w:sz w:val="24"/>
          <w:szCs w:val="24"/>
        </w:rPr>
        <w:t xml:space="preserve"> (562 US 344, 358 [2011]),</w:t>
      </w:r>
      <w:r w:rsidR="003F7F8E" w:rsidRPr="00B63755">
        <w:rPr>
          <w:sz w:val="24"/>
          <w:szCs w:val="24"/>
        </w:rPr>
        <w:t xml:space="preserve"> </w:t>
      </w:r>
      <w:r w:rsidRPr="00B63755">
        <w:rPr>
          <w:sz w:val="24"/>
          <w:szCs w:val="24"/>
        </w:rPr>
        <w:t>which declared that “the most important instances in which the [Confrontation] Clause restricts the introduction of out-of-court statements are those in which state actors are involved in a formal, out-of-court interrogation of a witness to obtain evidence for trial.” (</w:t>
      </w:r>
      <w:r w:rsidRPr="00B63755">
        <w:rPr>
          <w:i/>
          <w:iCs/>
          <w:sz w:val="24"/>
          <w:szCs w:val="24"/>
        </w:rPr>
        <w:t>See People v Goldstein</w:t>
      </w:r>
      <w:r w:rsidRPr="00B63755">
        <w:rPr>
          <w:sz w:val="24"/>
          <w:szCs w:val="24"/>
        </w:rPr>
        <w:t>, 6 NY3d 119, 129 [2005] [“</w:t>
      </w:r>
      <w:r w:rsidR="00C960E8" w:rsidRPr="00B63755">
        <w:rPr>
          <w:sz w:val="24"/>
          <w:szCs w:val="24"/>
        </w:rPr>
        <w:t>(T)</w:t>
      </w:r>
      <w:r w:rsidRPr="00B63755">
        <w:rPr>
          <w:sz w:val="24"/>
          <w:szCs w:val="24"/>
        </w:rPr>
        <w:t>he statements made to (the expert) by her interviewees were testimonial. . . . (The interviewees) knew they were responding to questions from an agent of the State engaged in trial preparation.</w:t>
      </w:r>
      <w:r w:rsidR="00380CEE" w:rsidRPr="00B63755">
        <w:rPr>
          <w:sz w:val="24"/>
          <w:szCs w:val="24"/>
        </w:rPr>
        <w:t xml:space="preserve"> </w:t>
      </w:r>
      <w:r w:rsidRPr="00B63755">
        <w:rPr>
          <w:sz w:val="24"/>
          <w:szCs w:val="24"/>
        </w:rPr>
        <w:t>None of them was making ‘a casual remark to an acquaintance’; all of them should reasonably have expected their statements ‘to be used prosecutorially’ or to ‘be available for use at a later trial.’. . . Responses to questions asked in interviews that were part of the prosecution</w:t>
      </w:r>
      <w:r w:rsidR="00C4367D" w:rsidRPr="00B63755">
        <w:rPr>
          <w:sz w:val="24"/>
          <w:szCs w:val="24"/>
        </w:rPr>
        <w:t>’</w:t>
      </w:r>
      <w:r w:rsidRPr="00B63755">
        <w:rPr>
          <w:sz w:val="24"/>
          <w:szCs w:val="24"/>
        </w:rPr>
        <w:t>s trial preparation are ‘formal’ in much the same sense as ‘depositions’ and other materials that the Supreme Court identified as testimonial”].)</w:t>
      </w:r>
    </w:p>
    <w:p w14:paraId="61C31EBD" w14:textId="77777777" w:rsidR="0002746C" w:rsidRPr="00B63755"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9A6DE5A" w14:textId="7B45F2A1" w:rsidR="00BD58BE" w:rsidRPr="00CA7BDF" w:rsidRDefault="009D0E52" w:rsidP="00BD58B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63755">
        <w:rPr>
          <w:sz w:val="24"/>
          <w:szCs w:val="24"/>
        </w:rPr>
        <w:tab/>
      </w:r>
      <w:r w:rsidRPr="00B63755">
        <w:rPr>
          <w:b/>
          <w:bCs/>
          <w:sz w:val="24"/>
          <w:szCs w:val="24"/>
        </w:rPr>
        <w:t>Subdivision (2) (</w:t>
      </w:r>
      <w:r w:rsidR="00101E7D" w:rsidRPr="00B63755">
        <w:rPr>
          <w:b/>
          <w:bCs/>
          <w:sz w:val="24"/>
          <w:szCs w:val="24"/>
        </w:rPr>
        <w:t>b</w:t>
      </w:r>
      <w:r w:rsidRPr="00B63755">
        <w:rPr>
          <w:b/>
          <w:bCs/>
          <w:sz w:val="24"/>
          <w:szCs w:val="24"/>
        </w:rPr>
        <w:t>) (ii)</w:t>
      </w:r>
      <w:r w:rsidRPr="00B63755">
        <w:rPr>
          <w:bCs/>
          <w:sz w:val="24"/>
          <w:szCs w:val="24"/>
        </w:rPr>
        <w:t xml:space="preserve">. </w:t>
      </w:r>
      <w:r w:rsidRPr="00B63755">
        <w:rPr>
          <w:sz w:val="24"/>
          <w:szCs w:val="24"/>
        </w:rPr>
        <w:t xml:space="preserve">The rule that, absent a formal investigation, a statement is testimonial when the “primary purpose” of questioning was to prove criminal conduct or past events relevant to a criminal prosecution is derived from </w:t>
      </w:r>
      <w:r w:rsidRPr="00B63755">
        <w:rPr>
          <w:i/>
          <w:iCs/>
          <w:sz w:val="24"/>
          <w:szCs w:val="24"/>
        </w:rPr>
        <w:t>Davis v Washington</w:t>
      </w:r>
      <w:r w:rsidRPr="00B63755">
        <w:rPr>
          <w:sz w:val="24"/>
          <w:szCs w:val="24"/>
        </w:rPr>
        <w:t xml:space="preserve"> (547 US 813, 822 [2006] [statements “are testimonial when the circumstances objectively indicate that there is no . . . ongoing emergency, and that the primary purpose of the interrogation is to establish or prove past events potentially relevant to later criminal prosecution”]; </w:t>
      </w:r>
      <w:r w:rsidRPr="00B63755">
        <w:rPr>
          <w:i/>
          <w:iCs/>
          <w:sz w:val="24"/>
          <w:szCs w:val="24"/>
        </w:rPr>
        <w:t>see Michigan v Bryant</w:t>
      </w:r>
      <w:r w:rsidRPr="00B63755">
        <w:rPr>
          <w:sz w:val="24"/>
          <w:szCs w:val="24"/>
        </w:rPr>
        <w:t xml:space="preserve">, 562 US 344, 358, </w:t>
      </w:r>
      <w:r w:rsidR="00C960E8" w:rsidRPr="00B63755">
        <w:rPr>
          <w:sz w:val="24"/>
          <w:szCs w:val="24"/>
        </w:rPr>
        <w:t xml:space="preserve">366, </w:t>
      </w:r>
      <w:r w:rsidRPr="00B63755">
        <w:rPr>
          <w:sz w:val="24"/>
          <w:szCs w:val="24"/>
        </w:rPr>
        <w:t xml:space="preserve">370 [2011] [“although formality suggests the absence of an emergency and therefore an increased likelihood that the purpose of the interrogation is to establish or prove past events potentially relevant to later criminal prosecution, informality does not necessarily indicate the presence of an </w:t>
      </w:r>
      <w:r w:rsidRPr="00B63755">
        <w:rPr>
          <w:sz w:val="24"/>
          <w:szCs w:val="24"/>
        </w:rPr>
        <w:lastRenderedPageBreak/>
        <w:t>emergency or the lack of testimonial intent</w:t>
      </w:r>
      <w:r w:rsidR="00C4367D" w:rsidRPr="00B63755">
        <w:rPr>
          <w:sz w:val="24"/>
          <w:szCs w:val="24"/>
        </w:rPr>
        <w:t>”</w:t>
      </w:r>
      <w:r w:rsidRPr="00B63755">
        <w:rPr>
          <w:sz w:val="24"/>
          <w:szCs w:val="24"/>
        </w:rPr>
        <w:t xml:space="preserve"> (citation and internal quotation marks omitted)]</w:t>
      </w:r>
      <w:r w:rsidR="003F7F8E" w:rsidRPr="00B63755">
        <w:rPr>
          <w:sz w:val="24"/>
          <w:szCs w:val="24"/>
        </w:rPr>
        <w:t>)</w:t>
      </w:r>
      <w:r w:rsidR="00943685" w:rsidRPr="00B63755">
        <w:rPr>
          <w:sz w:val="24"/>
          <w:szCs w:val="24"/>
        </w:rPr>
        <w:t>.</w:t>
      </w:r>
      <w:r w:rsidRPr="00B63755">
        <w:rPr>
          <w:sz w:val="24"/>
          <w:szCs w:val="24"/>
        </w:rPr>
        <w:t xml:space="preserve"> </w:t>
      </w:r>
    </w:p>
    <w:p w14:paraId="11AD2C44" w14:textId="77777777" w:rsidR="00BD58BE" w:rsidRPr="00CA7BDF" w:rsidRDefault="00BD58BE" w:rsidP="00BD58B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1AA0311" w14:textId="7BF74D6C" w:rsidR="009D0E52" w:rsidRPr="00B63755"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63755">
        <w:rPr>
          <w:sz w:val="24"/>
          <w:szCs w:val="24"/>
        </w:rPr>
        <w:tab/>
        <w:t xml:space="preserve">That a statement is testimonial when its primary purpose is to create a substitute for trial testimony is derived from </w:t>
      </w:r>
      <w:r w:rsidRPr="00B63755">
        <w:rPr>
          <w:i/>
          <w:iCs/>
          <w:sz w:val="24"/>
          <w:szCs w:val="24"/>
        </w:rPr>
        <w:t>Bryant</w:t>
      </w:r>
      <w:r w:rsidRPr="00B63755">
        <w:rPr>
          <w:sz w:val="24"/>
          <w:szCs w:val="24"/>
        </w:rPr>
        <w:t xml:space="preserve"> (562 US at 358 [“When . . . the primary purpose of an interrogation is to respond to an ‘ongoing emergency,’ its purpose is not to create a record for trial and thus is not within the scope of the Clause. But there may be </w:t>
      </w:r>
      <w:r w:rsidRPr="00B63755">
        <w:rPr>
          <w:i/>
          <w:iCs/>
          <w:sz w:val="24"/>
          <w:szCs w:val="24"/>
        </w:rPr>
        <w:t>other</w:t>
      </w:r>
      <w:r w:rsidRPr="00B63755">
        <w:rPr>
          <w:sz w:val="24"/>
          <w:szCs w:val="24"/>
        </w:rPr>
        <w:t xml:space="preserve"> circumstances, aside from ongoing emergencies, when a statement is not procured with a primary purpose of creating an out-of-court substitute”]; </w:t>
      </w:r>
      <w:r w:rsidRPr="00B63755">
        <w:rPr>
          <w:i/>
          <w:iCs/>
          <w:sz w:val="24"/>
          <w:szCs w:val="24"/>
        </w:rPr>
        <w:t>accord Ohio v Clark</w:t>
      </w:r>
      <w:r w:rsidRPr="00B63755">
        <w:rPr>
          <w:sz w:val="24"/>
          <w:szCs w:val="24"/>
        </w:rPr>
        <w:t xml:space="preserve">, </w:t>
      </w:r>
      <w:r w:rsidR="00CE4397" w:rsidRPr="00B63755">
        <w:rPr>
          <w:sz w:val="24"/>
          <w:szCs w:val="24"/>
        </w:rPr>
        <w:t xml:space="preserve">576 US 237, </w:t>
      </w:r>
      <w:r w:rsidRPr="00B63755">
        <w:rPr>
          <w:sz w:val="24"/>
          <w:szCs w:val="24"/>
        </w:rPr>
        <w:t>2</w:t>
      </w:r>
      <w:r w:rsidR="00BA5FEE" w:rsidRPr="00B63755">
        <w:rPr>
          <w:sz w:val="24"/>
          <w:szCs w:val="24"/>
        </w:rPr>
        <w:t>38</w:t>
      </w:r>
      <w:r w:rsidRPr="00B63755">
        <w:rPr>
          <w:sz w:val="24"/>
          <w:szCs w:val="24"/>
        </w:rPr>
        <w:t xml:space="preserve"> [2015]; </w:t>
      </w:r>
      <w:r w:rsidRPr="00B63755">
        <w:rPr>
          <w:i/>
          <w:iCs/>
          <w:sz w:val="24"/>
          <w:szCs w:val="24"/>
        </w:rPr>
        <w:t>People v John</w:t>
      </w:r>
      <w:r w:rsidRPr="00B63755">
        <w:rPr>
          <w:sz w:val="24"/>
          <w:szCs w:val="24"/>
        </w:rPr>
        <w:t>, 27 NY3d</w:t>
      </w:r>
      <w:r w:rsidR="005A66E8" w:rsidRPr="00B63755">
        <w:rPr>
          <w:sz w:val="24"/>
          <w:szCs w:val="24"/>
        </w:rPr>
        <w:t xml:space="preserve"> 294, </w:t>
      </w:r>
      <w:r w:rsidRPr="00B63755">
        <w:rPr>
          <w:sz w:val="24"/>
          <w:szCs w:val="24"/>
        </w:rPr>
        <w:t xml:space="preserve">307 </w:t>
      </w:r>
      <w:r w:rsidR="005A66E8" w:rsidRPr="00B63755">
        <w:rPr>
          <w:sz w:val="24"/>
          <w:szCs w:val="24"/>
        </w:rPr>
        <w:t xml:space="preserve">[2016] </w:t>
      </w:r>
      <w:r w:rsidRPr="00B63755">
        <w:rPr>
          <w:sz w:val="24"/>
          <w:szCs w:val="24"/>
        </w:rPr>
        <w:t xml:space="preserve">[a “statement will be treated as testimonial only if it was procured with a primary purpose of creating an out-of-court substitute for trial testimony </w:t>
      </w:r>
      <w:r w:rsidR="005C4A58" w:rsidRPr="00B63755">
        <w:rPr>
          <w:sz w:val="24"/>
          <w:szCs w:val="24"/>
        </w:rPr>
        <w:t>(</w:t>
      </w:r>
      <w:r w:rsidRPr="00B63755">
        <w:rPr>
          <w:i/>
          <w:iCs/>
          <w:sz w:val="24"/>
          <w:szCs w:val="24"/>
        </w:rPr>
        <w:t>People v Pealer</w:t>
      </w:r>
      <w:r w:rsidRPr="00B63755">
        <w:rPr>
          <w:sz w:val="24"/>
          <w:szCs w:val="24"/>
        </w:rPr>
        <w:t xml:space="preserve">, 20 NY3d 447, 453 [2013], quoting </w:t>
      </w:r>
      <w:r w:rsidRPr="00B63755">
        <w:rPr>
          <w:i/>
          <w:iCs/>
          <w:sz w:val="24"/>
          <w:szCs w:val="24"/>
        </w:rPr>
        <w:t>Michigan v Bryant</w:t>
      </w:r>
      <w:r w:rsidR="005A66E8" w:rsidRPr="00B63755">
        <w:rPr>
          <w:i/>
          <w:iCs/>
          <w:sz w:val="24"/>
          <w:szCs w:val="24"/>
        </w:rPr>
        <w:t xml:space="preserve"> </w:t>
      </w:r>
      <w:r w:rsidR="005A66E8" w:rsidRPr="00B63755">
        <w:rPr>
          <w:sz w:val="24"/>
          <w:szCs w:val="24"/>
        </w:rPr>
        <w:t>. . . )</w:t>
      </w:r>
      <w:r w:rsidR="005C4A58" w:rsidRPr="00B63755">
        <w:rPr>
          <w:sz w:val="24"/>
          <w:szCs w:val="24"/>
        </w:rPr>
        <w:t>”</w:t>
      </w:r>
      <w:r w:rsidR="009F4D83" w:rsidRPr="00B63755">
        <w:rPr>
          <w:sz w:val="24"/>
          <w:szCs w:val="24"/>
        </w:rPr>
        <w:t xml:space="preserve"> (internal quotation marks omitted)</w:t>
      </w:r>
      <w:r w:rsidR="005C4A58" w:rsidRPr="00B63755">
        <w:rPr>
          <w:sz w:val="24"/>
          <w:szCs w:val="24"/>
        </w:rPr>
        <w:t xml:space="preserve">]; </w:t>
      </w:r>
      <w:r w:rsidR="005C4A58" w:rsidRPr="00B63755">
        <w:rPr>
          <w:i/>
          <w:iCs/>
          <w:sz w:val="24"/>
          <w:szCs w:val="24"/>
        </w:rPr>
        <w:t>see</w:t>
      </w:r>
      <w:r w:rsidR="005C4A58" w:rsidRPr="00B63755">
        <w:rPr>
          <w:sz w:val="24"/>
          <w:szCs w:val="24"/>
        </w:rPr>
        <w:t xml:space="preserve"> </w:t>
      </w:r>
      <w:r w:rsidR="005C4A58" w:rsidRPr="00B63755">
        <w:rPr>
          <w:i/>
          <w:iCs/>
          <w:sz w:val="24"/>
          <w:szCs w:val="24"/>
        </w:rPr>
        <w:t>People v Pacer</w:t>
      </w:r>
      <w:r w:rsidR="005C4A58" w:rsidRPr="00B63755">
        <w:rPr>
          <w:sz w:val="24"/>
          <w:szCs w:val="24"/>
        </w:rPr>
        <w:t>, 6 NY3d 504, 512 [2006]</w:t>
      </w:r>
      <w:r w:rsidR="007D03D6" w:rsidRPr="00B63755">
        <w:rPr>
          <w:sz w:val="24"/>
          <w:szCs w:val="24"/>
        </w:rPr>
        <w:t xml:space="preserve">; </w:t>
      </w:r>
      <w:r w:rsidR="007D03D6" w:rsidRPr="00B63755">
        <w:rPr>
          <w:i/>
          <w:sz w:val="24"/>
          <w:szCs w:val="24"/>
        </w:rPr>
        <w:t>Pealer</w:t>
      </w:r>
      <w:r w:rsidR="007D03D6" w:rsidRPr="00B63755">
        <w:rPr>
          <w:sz w:val="24"/>
          <w:szCs w:val="24"/>
        </w:rPr>
        <w:t xml:space="preserve"> at 453</w:t>
      </w:r>
      <w:r w:rsidR="005C4A58" w:rsidRPr="00B63755">
        <w:rPr>
          <w:sz w:val="24"/>
          <w:szCs w:val="24"/>
        </w:rPr>
        <w:t xml:space="preserve"> </w:t>
      </w:r>
      <w:r w:rsidRPr="00B63755">
        <w:rPr>
          <w:sz w:val="24"/>
          <w:szCs w:val="24"/>
        </w:rPr>
        <w:t>[an affidavit of an employee of the Department of Motor Vehicles attesting to the revocation of an accused</w:t>
      </w:r>
      <w:r w:rsidR="00C4367D" w:rsidRPr="00B63755">
        <w:rPr>
          <w:sz w:val="24"/>
          <w:szCs w:val="24"/>
        </w:rPr>
        <w:t>’</w:t>
      </w:r>
      <w:r w:rsidRPr="00B63755">
        <w:rPr>
          <w:sz w:val="24"/>
          <w:szCs w:val="24"/>
        </w:rPr>
        <w:t>s license in a prosecution was testimonial because it “had an accusatory purpose in that it provided proof of an element of the crime and resembled testimonial hearsay”]).</w:t>
      </w:r>
    </w:p>
    <w:p w14:paraId="42446783" w14:textId="77777777" w:rsidR="0002746C" w:rsidRPr="00B63755"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543D93E" w14:textId="0E51D9F5" w:rsidR="009D0E52" w:rsidRPr="00B63755"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63755">
        <w:rPr>
          <w:sz w:val="24"/>
          <w:szCs w:val="24"/>
        </w:rPr>
        <w:tab/>
      </w:r>
      <w:r w:rsidRPr="00B63755">
        <w:rPr>
          <w:b/>
          <w:bCs/>
          <w:sz w:val="24"/>
          <w:szCs w:val="24"/>
        </w:rPr>
        <w:t>Subdivision (3</w:t>
      </w:r>
      <w:r w:rsidRPr="00B63755">
        <w:rPr>
          <w:sz w:val="24"/>
          <w:szCs w:val="24"/>
        </w:rPr>
        <w:t xml:space="preserve">) is derived from </w:t>
      </w:r>
      <w:r w:rsidRPr="00B63755">
        <w:rPr>
          <w:i/>
          <w:iCs/>
          <w:sz w:val="24"/>
          <w:szCs w:val="24"/>
        </w:rPr>
        <w:t xml:space="preserve">Davis v Washington </w:t>
      </w:r>
      <w:r w:rsidRPr="00B63755">
        <w:rPr>
          <w:iCs/>
          <w:sz w:val="24"/>
          <w:szCs w:val="24"/>
        </w:rPr>
        <w:t>(</w:t>
      </w:r>
      <w:r w:rsidRPr="00B63755">
        <w:rPr>
          <w:sz w:val="24"/>
          <w:szCs w:val="24"/>
        </w:rPr>
        <w:t>547 US at 822) which decided two cases</w:t>
      </w:r>
      <w:r w:rsidR="0077644C" w:rsidRPr="00B63755">
        <w:rPr>
          <w:sz w:val="24"/>
          <w:szCs w:val="24"/>
        </w:rPr>
        <w:t xml:space="preserve">. </w:t>
      </w:r>
      <w:r w:rsidRPr="00B63755">
        <w:rPr>
          <w:sz w:val="24"/>
          <w:szCs w:val="24"/>
        </w:rPr>
        <w:t>In the first case, a 911 caller’s statements relating to an ongoing assault, including the identification of her assailant, were not testimonial, given that the “primary purpose” of the statements was to obtain help (</w:t>
      </w:r>
      <w:r w:rsidRPr="00B63755">
        <w:rPr>
          <w:i/>
          <w:iCs/>
          <w:sz w:val="24"/>
          <w:szCs w:val="24"/>
        </w:rPr>
        <w:t>People v Nieves-Andino</w:t>
      </w:r>
      <w:r w:rsidRPr="00B63755">
        <w:rPr>
          <w:sz w:val="24"/>
          <w:szCs w:val="24"/>
        </w:rPr>
        <w:t>, 9 NY3d 12, 17 [2007];</w:t>
      </w:r>
      <w:r w:rsidRPr="00B63755">
        <w:rPr>
          <w:i/>
          <w:iCs/>
          <w:sz w:val="24"/>
          <w:szCs w:val="24"/>
        </w:rPr>
        <w:t xml:space="preserve"> People v Bradley</w:t>
      </w:r>
      <w:r w:rsidRPr="00B63755">
        <w:rPr>
          <w:sz w:val="24"/>
          <w:szCs w:val="24"/>
        </w:rPr>
        <w:t>, 8 NY3d 124, 127 [2006])</w:t>
      </w:r>
      <w:r w:rsidR="0077644C" w:rsidRPr="00B63755">
        <w:rPr>
          <w:sz w:val="24"/>
          <w:szCs w:val="24"/>
        </w:rPr>
        <w:t xml:space="preserve">. </w:t>
      </w:r>
      <w:r w:rsidRPr="00B63755">
        <w:rPr>
          <w:sz w:val="24"/>
          <w:szCs w:val="24"/>
        </w:rPr>
        <w:t>In the second case, the police, responding to a “domestic disturbance” call, found no ongoing emergency, and thus statements in response to their questions as to what happened were testimonial</w:t>
      </w:r>
      <w:r w:rsidR="0077644C" w:rsidRPr="00B63755">
        <w:rPr>
          <w:sz w:val="24"/>
          <w:szCs w:val="24"/>
        </w:rPr>
        <w:t xml:space="preserve">. </w:t>
      </w:r>
      <w:r w:rsidRPr="00B63755">
        <w:rPr>
          <w:sz w:val="24"/>
          <w:szCs w:val="24"/>
        </w:rPr>
        <w:t>(</w:t>
      </w:r>
      <w:r w:rsidRPr="00B63755">
        <w:rPr>
          <w:i/>
          <w:iCs/>
          <w:sz w:val="24"/>
          <w:szCs w:val="24"/>
        </w:rPr>
        <w:t>See</w:t>
      </w:r>
      <w:r w:rsidRPr="00B63755">
        <w:rPr>
          <w:sz w:val="24"/>
          <w:szCs w:val="24"/>
        </w:rPr>
        <w:t xml:space="preserve"> </w:t>
      </w:r>
      <w:r w:rsidRPr="00B63755">
        <w:rPr>
          <w:i/>
          <w:iCs/>
          <w:sz w:val="24"/>
          <w:szCs w:val="24"/>
        </w:rPr>
        <w:t>Michigan v Bryant</w:t>
      </w:r>
      <w:r w:rsidRPr="00B63755">
        <w:rPr>
          <w:sz w:val="24"/>
          <w:szCs w:val="24"/>
        </w:rPr>
        <w:t xml:space="preserve">, 562 US at 349 [where the police found a mortally wounded person lying on the ground in a parking lot of a gas station, the victim’s statement identifying his assailant, in response to police questions, was admissible because the “ ‘primary purpose of the interrogation’ was ‘to enable police assistance to </w:t>
      </w:r>
      <w:r w:rsidR="0002746C" w:rsidRPr="00B63755">
        <w:rPr>
          <w:sz w:val="24"/>
          <w:szCs w:val="24"/>
        </w:rPr>
        <w:t>meet an ongoing emergency’ ”].)</w:t>
      </w:r>
    </w:p>
    <w:p w14:paraId="26F1F265" w14:textId="77777777" w:rsidR="0002746C" w:rsidRPr="00B63755"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AECE27C" w14:textId="77777777" w:rsidR="009D0E52" w:rsidRPr="00B63755"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63755">
        <w:rPr>
          <w:sz w:val="24"/>
          <w:szCs w:val="24"/>
        </w:rPr>
        <w:tab/>
      </w:r>
      <w:r w:rsidRPr="00B63755">
        <w:rPr>
          <w:b/>
          <w:bCs/>
          <w:sz w:val="24"/>
          <w:szCs w:val="24"/>
        </w:rPr>
        <w:t>Subdivision (4</w:t>
      </w:r>
      <w:r w:rsidRPr="00B63755">
        <w:rPr>
          <w:sz w:val="24"/>
          <w:szCs w:val="24"/>
        </w:rPr>
        <w:t xml:space="preserve">) is derived from </w:t>
      </w:r>
      <w:r w:rsidRPr="00B63755">
        <w:rPr>
          <w:i/>
          <w:iCs/>
          <w:sz w:val="24"/>
          <w:szCs w:val="24"/>
        </w:rPr>
        <w:t>People v Hardy</w:t>
      </w:r>
      <w:r w:rsidRPr="00B63755">
        <w:rPr>
          <w:sz w:val="24"/>
          <w:szCs w:val="24"/>
        </w:rPr>
        <w:t xml:space="preserve"> (4 NY3d 192 [2005]) and </w:t>
      </w:r>
      <w:r w:rsidRPr="00B63755">
        <w:rPr>
          <w:i/>
          <w:iCs/>
          <w:sz w:val="24"/>
          <w:szCs w:val="24"/>
        </w:rPr>
        <w:t>People v Douglas</w:t>
      </w:r>
      <w:r w:rsidRPr="00B63755">
        <w:rPr>
          <w:sz w:val="24"/>
          <w:szCs w:val="24"/>
        </w:rPr>
        <w:t xml:space="preserve"> (4 NY3d 777 [2005]).</w:t>
      </w:r>
    </w:p>
    <w:p w14:paraId="5CB9880F" w14:textId="77777777" w:rsidR="0002746C" w:rsidRPr="00B63755"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4A59F8F" w14:textId="4C0D9E88" w:rsidR="009D0E52" w:rsidRPr="00B63755"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63755">
        <w:rPr>
          <w:sz w:val="24"/>
          <w:szCs w:val="24"/>
        </w:rPr>
        <w:tab/>
      </w:r>
      <w:r w:rsidRPr="00B63755">
        <w:rPr>
          <w:b/>
          <w:bCs/>
          <w:sz w:val="24"/>
          <w:szCs w:val="24"/>
        </w:rPr>
        <w:t xml:space="preserve">Subdivision (5) (a) </w:t>
      </w:r>
      <w:r w:rsidRPr="00B63755">
        <w:rPr>
          <w:sz w:val="24"/>
          <w:szCs w:val="24"/>
        </w:rPr>
        <w:t xml:space="preserve">is derived from </w:t>
      </w:r>
      <w:r w:rsidRPr="00B63755">
        <w:rPr>
          <w:i/>
          <w:iCs/>
          <w:sz w:val="24"/>
          <w:szCs w:val="24"/>
        </w:rPr>
        <w:t>Ohio v Clark</w:t>
      </w:r>
      <w:r w:rsidRPr="00B63755">
        <w:rPr>
          <w:sz w:val="24"/>
          <w:szCs w:val="24"/>
        </w:rPr>
        <w:t xml:space="preserve"> (576 US at </w:t>
      </w:r>
      <w:r w:rsidR="00F25178" w:rsidRPr="00B63755">
        <w:rPr>
          <w:sz w:val="24"/>
          <w:szCs w:val="24"/>
        </w:rPr>
        <w:t xml:space="preserve">249-250 </w:t>
      </w:r>
      <w:r w:rsidRPr="00B63755">
        <w:rPr>
          <w:sz w:val="24"/>
          <w:szCs w:val="24"/>
        </w:rPr>
        <w:t>[“(M)andatory reporting (obligations) . . . cannot convert a conversation between a concerned teacher and her student into a law enforcement mission aimed primarily at gathering evidence for a prosecution</w:t>
      </w:r>
      <w:r w:rsidR="0077644C" w:rsidRPr="00B63755">
        <w:rPr>
          <w:sz w:val="24"/>
          <w:szCs w:val="24"/>
        </w:rPr>
        <w:t xml:space="preserve">. </w:t>
      </w:r>
      <w:r w:rsidRPr="00B63755">
        <w:rPr>
          <w:sz w:val="24"/>
          <w:szCs w:val="24"/>
        </w:rPr>
        <w:t>It is irrelevant that the teachers</w:t>
      </w:r>
      <w:r w:rsidR="00C4367D" w:rsidRPr="00B63755">
        <w:rPr>
          <w:sz w:val="24"/>
          <w:szCs w:val="24"/>
        </w:rPr>
        <w:t>’</w:t>
      </w:r>
      <w:r w:rsidRPr="00B63755">
        <w:rPr>
          <w:sz w:val="24"/>
          <w:szCs w:val="24"/>
        </w:rPr>
        <w:t xml:space="preserve"> questions and their duty to report the matter had the natural tendency to re</w:t>
      </w:r>
      <w:r w:rsidR="0002746C" w:rsidRPr="00B63755">
        <w:rPr>
          <w:sz w:val="24"/>
          <w:szCs w:val="24"/>
        </w:rPr>
        <w:t>sult in Clark</w:t>
      </w:r>
      <w:r w:rsidR="00C4367D" w:rsidRPr="00B63755">
        <w:rPr>
          <w:sz w:val="24"/>
          <w:szCs w:val="24"/>
        </w:rPr>
        <w:t>’</w:t>
      </w:r>
      <w:r w:rsidR="0002746C" w:rsidRPr="00B63755">
        <w:rPr>
          <w:sz w:val="24"/>
          <w:szCs w:val="24"/>
        </w:rPr>
        <w:t>s prosecution”]).</w:t>
      </w:r>
    </w:p>
    <w:p w14:paraId="70E7114E" w14:textId="77777777" w:rsidR="0002746C" w:rsidRPr="00B63755"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B8FCDCD" w14:textId="42EBB8DC" w:rsidR="009D0E52" w:rsidRPr="00B63755"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63755">
        <w:rPr>
          <w:i/>
          <w:iCs/>
          <w:sz w:val="24"/>
          <w:szCs w:val="24"/>
        </w:rPr>
        <w:tab/>
      </w:r>
      <w:r w:rsidRPr="00B63755">
        <w:rPr>
          <w:b/>
          <w:bCs/>
          <w:sz w:val="24"/>
          <w:szCs w:val="24"/>
        </w:rPr>
        <w:t xml:space="preserve">Subdivision (5) (b) </w:t>
      </w:r>
      <w:r w:rsidRPr="00B63755">
        <w:rPr>
          <w:sz w:val="24"/>
          <w:szCs w:val="24"/>
        </w:rPr>
        <w:t xml:space="preserve">is derived from </w:t>
      </w:r>
      <w:r w:rsidRPr="00B63755">
        <w:rPr>
          <w:i/>
          <w:iCs/>
          <w:sz w:val="24"/>
          <w:szCs w:val="24"/>
        </w:rPr>
        <w:t>People v Duhs</w:t>
      </w:r>
      <w:r w:rsidRPr="00B63755">
        <w:rPr>
          <w:sz w:val="24"/>
          <w:szCs w:val="24"/>
        </w:rPr>
        <w:t xml:space="preserve"> (16 NY3d 405, 408-409 [2011] [a child’s responses to a medical doctor questioning the child for purposes of treatment w</w:t>
      </w:r>
      <w:r w:rsidR="002802D8">
        <w:rPr>
          <w:sz w:val="24"/>
          <w:szCs w:val="24"/>
        </w:rPr>
        <w:t>ere</w:t>
      </w:r>
      <w:r w:rsidRPr="00B63755">
        <w:rPr>
          <w:sz w:val="24"/>
          <w:szCs w:val="24"/>
        </w:rPr>
        <w:t xml:space="preserve"> not testimonial]).</w:t>
      </w:r>
    </w:p>
    <w:p w14:paraId="06D7240B" w14:textId="77777777" w:rsidR="0002746C" w:rsidRPr="00B63755"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68E6323" w14:textId="7843218F" w:rsidR="009D0E52" w:rsidRPr="00B63755" w:rsidRDefault="009D0E5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bookmarkStart w:id="1" w:name="_Hlk96006585"/>
      <w:r w:rsidRPr="00B63755">
        <w:rPr>
          <w:b/>
          <w:bCs/>
          <w:sz w:val="24"/>
          <w:szCs w:val="24"/>
        </w:rPr>
        <w:lastRenderedPageBreak/>
        <w:tab/>
        <w:t xml:space="preserve">Subdivision (6) (a) </w:t>
      </w:r>
      <w:r w:rsidRPr="00B63755">
        <w:rPr>
          <w:sz w:val="24"/>
          <w:szCs w:val="24"/>
        </w:rPr>
        <w:t xml:space="preserve">is derived from </w:t>
      </w:r>
      <w:r w:rsidRPr="00B63755">
        <w:rPr>
          <w:i/>
          <w:iCs/>
          <w:sz w:val="24"/>
          <w:szCs w:val="24"/>
        </w:rPr>
        <w:t>Melendez-Diaz v Massachusetts</w:t>
      </w:r>
      <w:r w:rsidRPr="00B63755">
        <w:rPr>
          <w:sz w:val="24"/>
          <w:szCs w:val="24"/>
        </w:rPr>
        <w:t xml:space="preserve"> (557 US 305 [2009] [drug analysis]); </w:t>
      </w:r>
      <w:r w:rsidRPr="00B63755">
        <w:rPr>
          <w:i/>
          <w:iCs/>
          <w:sz w:val="24"/>
          <w:szCs w:val="24"/>
        </w:rPr>
        <w:t>Bullcoming v New Mexico</w:t>
      </w:r>
      <w:r w:rsidRPr="00B63755">
        <w:rPr>
          <w:sz w:val="24"/>
          <w:szCs w:val="24"/>
        </w:rPr>
        <w:t xml:space="preserve"> (564 US 647 [2011] [blood-alcohol content]); </w:t>
      </w:r>
      <w:r w:rsidRPr="00B63755">
        <w:rPr>
          <w:i/>
          <w:iCs/>
          <w:sz w:val="24"/>
          <w:szCs w:val="24"/>
        </w:rPr>
        <w:t>People v Rawlins</w:t>
      </w:r>
      <w:r w:rsidRPr="00B63755">
        <w:rPr>
          <w:sz w:val="24"/>
          <w:szCs w:val="24"/>
        </w:rPr>
        <w:t xml:space="preserve"> (10 NY3d 136, 157 [2008] [fingerprint report]); </w:t>
      </w:r>
      <w:r w:rsidRPr="00B63755">
        <w:rPr>
          <w:i/>
          <w:iCs/>
          <w:sz w:val="24"/>
          <w:szCs w:val="24"/>
        </w:rPr>
        <w:t>People v John</w:t>
      </w:r>
      <w:r w:rsidRPr="00B63755">
        <w:rPr>
          <w:sz w:val="24"/>
          <w:szCs w:val="24"/>
        </w:rPr>
        <w:t xml:space="preserve"> (27 NY3d at 307-308 [DNA report that linked the defendant to possession of the weapon he was charged with possessing]); and </w:t>
      </w:r>
      <w:r w:rsidRPr="00B63755">
        <w:rPr>
          <w:i/>
          <w:iCs/>
          <w:sz w:val="24"/>
          <w:szCs w:val="24"/>
        </w:rPr>
        <w:t>People v Austin</w:t>
      </w:r>
      <w:r w:rsidRPr="00B63755">
        <w:rPr>
          <w:sz w:val="24"/>
          <w:szCs w:val="24"/>
        </w:rPr>
        <w:t xml:space="preserve"> (30 NY3d 98, 104 [2017] [buccal swab was obtained and the resulting profile was compared with the DNA profile generated from the burglaries “with the primary (truly, the sole) purpose of proving a particular fact in a criminal proceeding—that defendant . . . committed the crime for which he was charged”]</w:t>
      </w:r>
      <w:bookmarkStart w:id="2" w:name="_Hlk96005788"/>
      <w:r w:rsidR="00EB6A9D" w:rsidRPr="00B63755">
        <w:rPr>
          <w:sz w:val="24"/>
          <w:szCs w:val="24"/>
        </w:rPr>
        <w:t>)</w:t>
      </w:r>
      <w:r w:rsidR="00F84E39" w:rsidRPr="00B63755">
        <w:rPr>
          <w:sz w:val="24"/>
          <w:szCs w:val="24"/>
        </w:rPr>
        <w:t>.</w:t>
      </w:r>
    </w:p>
    <w:bookmarkEnd w:id="2"/>
    <w:p w14:paraId="1F7DDE7A" w14:textId="77777777" w:rsidR="0002746C" w:rsidRPr="00B63755"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B465AE0" w14:textId="7C423C32" w:rsidR="00F32627" w:rsidRPr="00BD2BC2" w:rsidRDefault="009D0E52" w:rsidP="005B408E">
      <w:pPr>
        <w:jc w:val="both"/>
        <w:rPr>
          <w:rFonts w:eastAsia="Times New Roman"/>
          <w:sz w:val="24"/>
          <w:szCs w:val="24"/>
        </w:rPr>
      </w:pPr>
      <w:r w:rsidRPr="00B63755">
        <w:rPr>
          <w:sz w:val="24"/>
          <w:szCs w:val="24"/>
        </w:rPr>
        <w:tab/>
      </w:r>
      <w:r w:rsidRPr="00B63755">
        <w:rPr>
          <w:b/>
          <w:bCs/>
          <w:sz w:val="24"/>
          <w:szCs w:val="24"/>
        </w:rPr>
        <w:t xml:space="preserve">Subdivision (6) (b) </w:t>
      </w:r>
      <w:r w:rsidRPr="00B63755">
        <w:rPr>
          <w:sz w:val="24"/>
          <w:szCs w:val="24"/>
        </w:rPr>
        <w:t xml:space="preserve">is derived from </w:t>
      </w:r>
      <w:r w:rsidRPr="00B63755">
        <w:rPr>
          <w:i/>
          <w:iCs/>
          <w:sz w:val="24"/>
          <w:szCs w:val="24"/>
        </w:rPr>
        <w:t xml:space="preserve">Bullcoming </w:t>
      </w:r>
      <w:r w:rsidRPr="00B63755">
        <w:rPr>
          <w:sz w:val="24"/>
          <w:szCs w:val="24"/>
        </w:rPr>
        <w:t>(564 US at 651</w:t>
      </w:r>
      <w:r w:rsidRPr="00B63755">
        <w:rPr>
          <w:i/>
          <w:iCs/>
          <w:sz w:val="24"/>
          <w:szCs w:val="24"/>
        </w:rPr>
        <w:t xml:space="preserve"> </w:t>
      </w:r>
      <w:r w:rsidRPr="00B63755">
        <w:rPr>
          <w:sz w:val="24"/>
          <w:szCs w:val="24"/>
        </w:rPr>
        <w:t xml:space="preserve">[holding that a surrogate analyst who was familiar with the laboratory’s testing procedures, but “had neither participated in nor observed the test,” did not satisfy the Confrontation Clause requirement]); and </w:t>
      </w:r>
      <w:r w:rsidRPr="00B63755">
        <w:rPr>
          <w:i/>
          <w:iCs/>
          <w:sz w:val="24"/>
          <w:szCs w:val="24"/>
        </w:rPr>
        <w:t>People v Hao Lin</w:t>
      </w:r>
      <w:r w:rsidRPr="00B63755">
        <w:rPr>
          <w:sz w:val="24"/>
          <w:szCs w:val="24"/>
        </w:rPr>
        <w:t xml:space="preserve"> (28 NY3d 701, 705 [2017]) from which the language of subdivision (6) (b) is taken.</w:t>
      </w:r>
      <w:r w:rsidR="002A6800" w:rsidRPr="00B63755">
        <w:rPr>
          <w:sz w:val="24"/>
          <w:szCs w:val="24"/>
        </w:rPr>
        <w:t xml:space="preserve"> In </w:t>
      </w:r>
      <w:r w:rsidR="002A6800" w:rsidRPr="00B63755">
        <w:rPr>
          <w:i/>
          <w:iCs/>
          <w:sz w:val="24"/>
          <w:szCs w:val="24"/>
        </w:rPr>
        <w:t>Hao Lin</w:t>
      </w:r>
      <w:r w:rsidR="002A6800" w:rsidRPr="00B63755">
        <w:rPr>
          <w:sz w:val="24"/>
          <w:szCs w:val="24"/>
        </w:rPr>
        <w:t>, a retired officer performed the “breath test” and the officer who testified observed him “perform all of the steps on the checklist and saw the breathalyzer machine print out the results. Based upon his personal observations, Mercado—as a trained and certified operator who was present for the entire testing protocol—was a suitable witness to testify about the testing procedure and results in defendant</w:t>
      </w:r>
      <w:r w:rsidR="00C4367D" w:rsidRPr="00B63755">
        <w:rPr>
          <w:sz w:val="24"/>
          <w:szCs w:val="24"/>
        </w:rPr>
        <w:t>’</w:t>
      </w:r>
      <w:r w:rsidR="002A6800" w:rsidRPr="00B63755">
        <w:rPr>
          <w:sz w:val="24"/>
          <w:szCs w:val="24"/>
        </w:rPr>
        <w:t>s test. Inasmuch as Mercado testified as to his own observations, not as a surrogate for Harriman, there was no Confrontation Clause violation.”</w:t>
      </w:r>
      <w:r w:rsidRPr="00B63755">
        <w:rPr>
          <w:sz w:val="24"/>
          <w:szCs w:val="24"/>
        </w:rPr>
        <w:t xml:space="preserve"> (</w:t>
      </w:r>
      <w:r w:rsidR="00EB6A9D" w:rsidRPr="00B63755">
        <w:rPr>
          <w:i/>
          <w:iCs/>
          <w:sz w:val="24"/>
          <w:szCs w:val="24"/>
        </w:rPr>
        <w:t>Id</w:t>
      </w:r>
      <w:r w:rsidR="00EB6A9D" w:rsidRPr="00B63755">
        <w:rPr>
          <w:sz w:val="24"/>
          <w:szCs w:val="24"/>
        </w:rPr>
        <w:t xml:space="preserve">. at 707; </w:t>
      </w:r>
      <w:r w:rsidR="00EB6A9D" w:rsidRPr="00B63755">
        <w:rPr>
          <w:i/>
          <w:iCs/>
          <w:sz w:val="24"/>
          <w:szCs w:val="24"/>
        </w:rPr>
        <w:t>s</w:t>
      </w:r>
      <w:r w:rsidRPr="00B63755">
        <w:rPr>
          <w:i/>
          <w:iCs/>
          <w:sz w:val="24"/>
          <w:szCs w:val="24"/>
        </w:rPr>
        <w:t>ee People v John</w:t>
      </w:r>
      <w:r w:rsidRPr="00B63755">
        <w:rPr>
          <w:sz w:val="24"/>
          <w:szCs w:val="24"/>
        </w:rPr>
        <w:t>, 27 NY3d at 314 [“</w:t>
      </w:r>
      <w:r w:rsidR="00EB6A9D" w:rsidRPr="00B63755">
        <w:rPr>
          <w:sz w:val="24"/>
          <w:szCs w:val="24"/>
        </w:rPr>
        <w:t>(T)</w:t>
      </w:r>
      <w:r w:rsidRPr="00B63755">
        <w:rPr>
          <w:sz w:val="24"/>
          <w:szCs w:val="24"/>
        </w:rPr>
        <w:t xml:space="preserve">he claim of a need for a horde of analysts is overstated and a single analyst, particularly the one who performed, witnessed or supervised the generation of the critical numerical DNA profile, would satisfy the dictates of </w:t>
      </w:r>
      <w:r w:rsidRPr="00B63755">
        <w:rPr>
          <w:i/>
          <w:iCs/>
          <w:sz w:val="24"/>
          <w:szCs w:val="24"/>
        </w:rPr>
        <w:t>Crawford</w:t>
      </w:r>
      <w:r w:rsidRPr="00B63755">
        <w:rPr>
          <w:sz w:val="24"/>
          <w:szCs w:val="24"/>
        </w:rPr>
        <w:t xml:space="preserve"> and </w:t>
      </w:r>
      <w:r w:rsidRPr="00B63755">
        <w:rPr>
          <w:i/>
          <w:iCs/>
          <w:sz w:val="24"/>
          <w:szCs w:val="24"/>
        </w:rPr>
        <w:t>Bullcoming</w:t>
      </w:r>
      <w:r w:rsidRPr="00B63755">
        <w:rPr>
          <w:sz w:val="24"/>
          <w:szCs w:val="24"/>
        </w:rPr>
        <w:t>”]</w:t>
      </w:r>
      <w:r w:rsidR="009109E6">
        <w:rPr>
          <w:sz w:val="24"/>
          <w:szCs w:val="24"/>
        </w:rPr>
        <w:t>;</w:t>
      </w:r>
      <w:r w:rsidR="002010AA">
        <w:rPr>
          <w:sz w:val="24"/>
          <w:szCs w:val="24"/>
        </w:rPr>
        <w:t xml:space="preserve"> </w:t>
      </w:r>
      <w:r w:rsidR="002010AA" w:rsidRPr="00BD2BC2">
        <w:rPr>
          <w:rFonts w:eastAsia="Times New Roman"/>
          <w:i/>
          <w:iCs/>
          <w:sz w:val="24"/>
          <w:szCs w:val="24"/>
          <w:bdr w:val="none" w:sz="0" w:space="0" w:color="auto" w:frame="1"/>
        </w:rPr>
        <w:t>People v Jordan</w:t>
      </w:r>
      <w:r w:rsidR="002010AA" w:rsidRPr="00BD2BC2">
        <w:rPr>
          <w:rFonts w:eastAsia="Times New Roman"/>
          <w:sz w:val="24"/>
          <w:szCs w:val="24"/>
        </w:rPr>
        <w:t>, 40 NY3d 396, 40</w:t>
      </w:r>
      <w:r w:rsidR="005F239B" w:rsidRPr="00BD2BC2">
        <w:rPr>
          <w:rFonts w:eastAsia="Times New Roman"/>
          <w:sz w:val="24"/>
          <w:szCs w:val="24"/>
        </w:rPr>
        <w:t>2</w:t>
      </w:r>
      <w:r w:rsidR="002010AA" w:rsidRPr="00BD2BC2">
        <w:rPr>
          <w:rFonts w:eastAsia="Times New Roman"/>
          <w:sz w:val="24"/>
          <w:szCs w:val="24"/>
        </w:rPr>
        <w:t xml:space="preserve"> [2023]</w:t>
      </w:r>
      <w:r w:rsidR="00401E9D" w:rsidRPr="00BD2BC2">
        <w:rPr>
          <w:rFonts w:eastAsia="Times New Roman"/>
          <w:sz w:val="24"/>
          <w:szCs w:val="24"/>
        </w:rPr>
        <w:t xml:space="preserve"> [</w:t>
      </w:r>
      <w:r w:rsidR="00F32627" w:rsidRPr="00BD2BC2">
        <w:rPr>
          <w:rFonts w:eastAsia="Times New Roman"/>
          <w:sz w:val="24"/>
          <w:szCs w:val="24"/>
        </w:rPr>
        <w:t xml:space="preserve">“the testifying analyst must have either participated in or directly supervised this </w:t>
      </w:r>
      <w:r w:rsidR="003D3A06" w:rsidRPr="00BD2BC2">
        <w:rPr>
          <w:rFonts w:eastAsia="Times New Roman"/>
          <w:sz w:val="24"/>
          <w:szCs w:val="24"/>
        </w:rPr>
        <w:t>‘</w:t>
      </w:r>
      <w:r w:rsidR="00F32627" w:rsidRPr="00BD2BC2">
        <w:rPr>
          <w:rFonts w:eastAsia="Times New Roman"/>
          <w:sz w:val="24"/>
          <w:szCs w:val="24"/>
          <w:bdr w:val="none" w:sz="0" w:space="0" w:color="auto" w:frame="1"/>
          <w:shd w:val="clear" w:color="auto" w:fill="FFFFFF"/>
        </w:rPr>
        <w:t>final</w:t>
      </w:r>
      <w:r w:rsidR="003D3A06" w:rsidRPr="00BD2BC2">
        <w:rPr>
          <w:rFonts w:eastAsia="Times New Roman"/>
          <w:sz w:val="24"/>
          <w:szCs w:val="24"/>
        </w:rPr>
        <w:t>’</w:t>
      </w:r>
      <w:r w:rsidR="00F32627" w:rsidRPr="00BD2BC2">
        <w:rPr>
          <w:rFonts w:eastAsia="Times New Roman"/>
          <w:sz w:val="24"/>
          <w:szCs w:val="24"/>
        </w:rPr>
        <w:t xml:space="preserve"> step that generates the DNA profile, or </w:t>
      </w:r>
      <w:r w:rsidR="002A50F7" w:rsidRPr="00BD2BC2">
        <w:rPr>
          <w:rFonts w:eastAsia="Times New Roman"/>
          <w:sz w:val="24"/>
          <w:szCs w:val="24"/>
        </w:rPr>
        <w:t>[conducted]</w:t>
      </w:r>
      <w:r w:rsidR="00F32627" w:rsidRPr="00BD2BC2">
        <w:rPr>
          <w:rFonts w:eastAsia="Times New Roman"/>
          <w:sz w:val="24"/>
          <w:szCs w:val="24"/>
        </w:rPr>
        <w:t xml:space="preserve"> an </w:t>
      </w:r>
      <w:r w:rsidR="00405E87" w:rsidRPr="00BD2BC2">
        <w:rPr>
          <w:rFonts w:eastAsia="Times New Roman"/>
          <w:sz w:val="24"/>
          <w:szCs w:val="24"/>
        </w:rPr>
        <w:t>‘</w:t>
      </w:r>
      <w:r w:rsidR="00F32627" w:rsidRPr="00BD2BC2">
        <w:rPr>
          <w:rFonts w:eastAsia="Times New Roman"/>
          <w:sz w:val="24"/>
          <w:szCs w:val="24"/>
        </w:rPr>
        <w:t>independent analysis</w:t>
      </w:r>
      <w:r w:rsidR="00405E87" w:rsidRPr="00BD2BC2">
        <w:rPr>
          <w:rFonts w:eastAsia="Times New Roman"/>
          <w:sz w:val="24"/>
          <w:szCs w:val="24"/>
        </w:rPr>
        <w:t>’</w:t>
      </w:r>
      <w:r w:rsidR="00F32627" w:rsidRPr="00BD2BC2">
        <w:rPr>
          <w:rFonts w:eastAsia="Times New Roman"/>
          <w:sz w:val="24"/>
          <w:szCs w:val="24"/>
        </w:rPr>
        <w:t xml:space="preserve"> of the data used to do so in a manner that enables replication of the determinations made at that stage in order to verify the profile</w:t>
      </w:r>
      <w:r w:rsidR="002A50F7" w:rsidRPr="00BD2BC2">
        <w:rPr>
          <w:rFonts w:eastAsia="Times New Roman"/>
          <w:sz w:val="24"/>
          <w:szCs w:val="24"/>
        </w:rPr>
        <w:t>”</w:t>
      </w:r>
      <w:r w:rsidR="005B408E" w:rsidRPr="00BD2BC2">
        <w:rPr>
          <w:rFonts w:eastAsia="Times New Roman"/>
          <w:sz w:val="24"/>
          <w:szCs w:val="24"/>
        </w:rPr>
        <w:t>]</w:t>
      </w:r>
      <w:r w:rsidR="009109E6" w:rsidRPr="00BD2BC2">
        <w:rPr>
          <w:rFonts w:eastAsia="Times New Roman"/>
          <w:sz w:val="24"/>
          <w:szCs w:val="24"/>
        </w:rPr>
        <w:t>.)</w:t>
      </w:r>
    </w:p>
    <w:p w14:paraId="5C13AAFB" w14:textId="77777777" w:rsidR="0002746C" w:rsidRPr="00BD2BC2" w:rsidRDefault="0002746C"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bookmarkEnd w:id="1"/>
    <w:p w14:paraId="03DDAFCE" w14:textId="2A72E410" w:rsidR="00FD346F" w:rsidRPr="00BD2BC2" w:rsidRDefault="00FD346F" w:rsidP="0009140F">
      <w:pPr>
        <w:widowControl/>
        <w:shd w:val="clear" w:color="auto" w:fill="FFFFFF"/>
        <w:autoSpaceDE/>
        <w:autoSpaceDN/>
        <w:adjustRightInd/>
        <w:spacing w:line="320" w:lineRule="atLeast"/>
        <w:jc w:val="both"/>
        <w:rPr>
          <w:sz w:val="24"/>
          <w:szCs w:val="24"/>
        </w:rPr>
      </w:pPr>
      <w:r w:rsidRPr="00BD2BC2">
        <w:rPr>
          <w:b/>
          <w:bCs/>
          <w:sz w:val="24"/>
          <w:szCs w:val="24"/>
        </w:rPr>
        <w:tab/>
        <w:t>Subdivision (6) (c)</w:t>
      </w:r>
      <w:r w:rsidRPr="00BD2BC2">
        <w:rPr>
          <w:sz w:val="24"/>
          <w:szCs w:val="24"/>
        </w:rPr>
        <w:t xml:space="preserve"> summarizes the holdings of </w:t>
      </w:r>
      <w:r w:rsidRPr="00BD2BC2">
        <w:rPr>
          <w:i/>
          <w:iCs/>
          <w:sz w:val="24"/>
          <w:szCs w:val="24"/>
        </w:rPr>
        <w:t>People v Ortega</w:t>
      </w:r>
      <w:r w:rsidRPr="00BD2BC2">
        <w:rPr>
          <w:sz w:val="24"/>
          <w:szCs w:val="24"/>
        </w:rPr>
        <w:t xml:space="preserve"> </w:t>
      </w:r>
      <w:r w:rsidR="008715B0" w:rsidRPr="00BD2BC2">
        <w:rPr>
          <w:sz w:val="24"/>
          <w:szCs w:val="24"/>
        </w:rPr>
        <w:t>(</w:t>
      </w:r>
      <w:r w:rsidR="00981D0D" w:rsidRPr="00BD2BC2">
        <w:rPr>
          <w:rFonts w:eastAsia="Times New Roman"/>
          <w:sz w:val="24"/>
          <w:szCs w:val="24"/>
        </w:rPr>
        <w:t xml:space="preserve">40 NY3d 463 </w:t>
      </w:r>
      <w:r w:rsidR="00897C58" w:rsidRPr="00BD2BC2">
        <w:rPr>
          <w:rFonts w:eastAsia="Times New Roman"/>
          <w:sz w:val="24"/>
          <w:szCs w:val="24"/>
        </w:rPr>
        <w:t>[</w:t>
      </w:r>
      <w:r w:rsidRPr="00BD2BC2">
        <w:rPr>
          <w:sz w:val="24"/>
          <w:szCs w:val="24"/>
        </w:rPr>
        <w:t>2023]</w:t>
      </w:r>
      <w:r w:rsidR="008715B0" w:rsidRPr="00BD2BC2">
        <w:rPr>
          <w:sz w:val="24"/>
          <w:szCs w:val="24"/>
        </w:rPr>
        <w:t>)</w:t>
      </w:r>
      <w:r w:rsidR="002F3868" w:rsidRPr="00BD2BC2">
        <w:rPr>
          <w:sz w:val="24"/>
          <w:szCs w:val="24"/>
        </w:rPr>
        <w:t xml:space="preserve"> to the effect that an autopsy report is testimonial evidence. </w:t>
      </w:r>
    </w:p>
    <w:p w14:paraId="0EDD2500" w14:textId="77777777" w:rsidR="00940601" w:rsidRPr="00B63755" w:rsidRDefault="00940601" w:rsidP="00981D0D">
      <w:pPr>
        <w:widowControl/>
        <w:shd w:val="clear" w:color="auto" w:fill="FFFFFF"/>
        <w:autoSpaceDE/>
        <w:autoSpaceDN/>
        <w:adjustRightInd/>
        <w:spacing w:line="320" w:lineRule="atLeast"/>
        <w:rPr>
          <w:rFonts w:ascii="Source Sans Pro" w:eastAsia="Times New Roman" w:hAnsi="Source Sans Pro"/>
          <w:sz w:val="24"/>
          <w:szCs w:val="24"/>
        </w:rPr>
      </w:pPr>
    </w:p>
    <w:p w14:paraId="78A46E32" w14:textId="104FE381" w:rsidR="00356864" w:rsidRPr="00BD2BC2" w:rsidRDefault="009A0C72"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63755">
        <w:rPr>
          <w:sz w:val="24"/>
          <w:szCs w:val="24"/>
        </w:rPr>
        <w:tab/>
      </w:r>
      <w:r w:rsidRPr="00B63755">
        <w:rPr>
          <w:b/>
          <w:bCs/>
          <w:sz w:val="24"/>
          <w:szCs w:val="24"/>
        </w:rPr>
        <w:t xml:space="preserve">Subdivision (6) </w:t>
      </w:r>
      <w:r w:rsidR="009B672A" w:rsidRPr="00B63755">
        <w:rPr>
          <w:b/>
          <w:bCs/>
          <w:sz w:val="24"/>
          <w:szCs w:val="24"/>
        </w:rPr>
        <w:t xml:space="preserve">(d) </w:t>
      </w:r>
      <w:r w:rsidR="00F10F79" w:rsidRPr="00B63755">
        <w:rPr>
          <w:sz w:val="24"/>
          <w:szCs w:val="24"/>
        </w:rPr>
        <w:t xml:space="preserve">is </w:t>
      </w:r>
      <w:r w:rsidRPr="00B63755">
        <w:rPr>
          <w:sz w:val="24"/>
          <w:szCs w:val="24"/>
        </w:rPr>
        <w:t>derived from</w:t>
      </w:r>
      <w:r w:rsidRPr="00B63755">
        <w:rPr>
          <w:b/>
          <w:bCs/>
          <w:sz w:val="24"/>
          <w:szCs w:val="24"/>
        </w:rPr>
        <w:t xml:space="preserve"> </w:t>
      </w:r>
      <w:r w:rsidRPr="00B63755">
        <w:rPr>
          <w:i/>
          <w:iCs/>
          <w:sz w:val="24"/>
          <w:szCs w:val="24"/>
        </w:rPr>
        <w:t>People v Pealer</w:t>
      </w:r>
      <w:r w:rsidRPr="00B63755">
        <w:rPr>
          <w:sz w:val="24"/>
          <w:szCs w:val="24"/>
        </w:rPr>
        <w:t xml:space="preserve"> (20 NY3d at 455-456 [with respect to a breathalyzer machine, the Court noted that “</w:t>
      </w:r>
      <w:r w:rsidRPr="00B63755">
        <w:rPr>
          <w:i/>
          <w:iCs/>
          <w:sz w:val="24"/>
          <w:szCs w:val="24"/>
        </w:rPr>
        <w:t>Melendez-Diaz</w:t>
      </w:r>
      <w:r w:rsidRPr="00B63755">
        <w:rPr>
          <w:sz w:val="24"/>
          <w:szCs w:val="24"/>
        </w:rPr>
        <w:t xml:space="preserve"> recognized the possibility that records ‘prepared in the regular course of equipment maintenance’—precursors to an actual breathalyzer test of a suspect—‘may well qualify as nontestimonial records’ (557 US at 311 n 1)</w:t>
      </w:r>
      <w:r w:rsidR="008715B0" w:rsidRPr="00B63755">
        <w:rPr>
          <w:sz w:val="24"/>
          <w:szCs w:val="24"/>
        </w:rPr>
        <w:t xml:space="preserve">”]; </w:t>
      </w:r>
      <w:r w:rsidR="008715B0" w:rsidRPr="00BD2BC2">
        <w:rPr>
          <w:i/>
          <w:iCs/>
          <w:sz w:val="24"/>
          <w:szCs w:val="24"/>
        </w:rPr>
        <w:t>c</w:t>
      </w:r>
      <w:r w:rsidR="00093FF3" w:rsidRPr="00BD2BC2">
        <w:rPr>
          <w:i/>
          <w:iCs/>
          <w:sz w:val="24"/>
          <w:szCs w:val="24"/>
        </w:rPr>
        <w:t>f.</w:t>
      </w:r>
      <w:r w:rsidR="00093FF3" w:rsidRPr="00BD2BC2">
        <w:rPr>
          <w:sz w:val="24"/>
          <w:szCs w:val="24"/>
        </w:rPr>
        <w:t xml:space="preserve"> </w:t>
      </w:r>
      <w:r w:rsidR="00D97E3B" w:rsidRPr="00BD2BC2">
        <w:rPr>
          <w:rFonts w:eastAsia="Times New Roman"/>
          <w:i/>
          <w:iCs/>
          <w:sz w:val="24"/>
          <w:szCs w:val="24"/>
          <w:bdr w:val="none" w:sz="0" w:space="0" w:color="auto" w:frame="1"/>
        </w:rPr>
        <w:t>People v Jordan</w:t>
      </w:r>
      <w:r w:rsidR="00D97E3B" w:rsidRPr="00BD2BC2">
        <w:rPr>
          <w:rFonts w:eastAsia="Times New Roman"/>
          <w:sz w:val="24"/>
          <w:szCs w:val="24"/>
        </w:rPr>
        <w:t xml:space="preserve">, 40 NY3d </w:t>
      </w:r>
      <w:r w:rsidR="00482BE2" w:rsidRPr="00BD2BC2">
        <w:rPr>
          <w:rFonts w:eastAsia="Times New Roman"/>
          <w:sz w:val="24"/>
          <w:szCs w:val="24"/>
        </w:rPr>
        <w:t>at</w:t>
      </w:r>
      <w:r w:rsidR="00D97E3B" w:rsidRPr="00BD2BC2">
        <w:rPr>
          <w:rFonts w:eastAsia="Times New Roman"/>
          <w:sz w:val="24"/>
          <w:szCs w:val="24"/>
        </w:rPr>
        <w:t xml:space="preserve"> </w:t>
      </w:r>
      <w:r w:rsidR="008715B0" w:rsidRPr="00BD2BC2">
        <w:rPr>
          <w:rFonts w:eastAsia="Times New Roman"/>
          <w:sz w:val="24"/>
          <w:szCs w:val="24"/>
        </w:rPr>
        <w:t>400-</w:t>
      </w:r>
      <w:r w:rsidR="00D97E3B" w:rsidRPr="00BD2BC2">
        <w:rPr>
          <w:rFonts w:eastAsia="Times New Roman"/>
          <w:sz w:val="24"/>
          <w:szCs w:val="24"/>
        </w:rPr>
        <w:t>401 [</w:t>
      </w:r>
      <w:r w:rsidR="00025CC5" w:rsidRPr="00BD2BC2">
        <w:rPr>
          <w:rFonts w:eastAsia="Times New Roman"/>
          <w:sz w:val="24"/>
          <w:szCs w:val="24"/>
        </w:rPr>
        <w:t xml:space="preserve">holding that </w:t>
      </w:r>
      <w:r w:rsidR="00356864" w:rsidRPr="00BD2BC2">
        <w:rPr>
          <w:rFonts w:eastAsia="Times New Roman"/>
          <w:sz w:val="24"/>
          <w:szCs w:val="24"/>
        </w:rPr>
        <w:t xml:space="preserve">the dictates of </w:t>
      </w:r>
      <w:r w:rsidR="00356864" w:rsidRPr="00BD2BC2">
        <w:rPr>
          <w:rFonts w:eastAsia="Times New Roman"/>
          <w:i/>
          <w:iCs/>
          <w:sz w:val="24"/>
          <w:szCs w:val="24"/>
        </w:rPr>
        <w:t xml:space="preserve">Crawford </w:t>
      </w:r>
      <w:r w:rsidR="00356864" w:rsidRPr="00BD2BC2">
        <w:rPr>
          <w:rFonts w:eastAsia="Times New Roman"/>
          <w:sz w:val="24"/>
          <w:szCs w:val="24"/>
        </w:rPr>
        <w:t>did not apply to the</w:t>
      </w:r>
      <w:r w:rsidR="00356864" w:rsidRPr="00BD2BC2">
        <w:rPr>
          <w:rFonts w:eastAsia="Times New Roman"/>
          <w:i/>
          <w:iCs/>
          <w:sz w:val="24"/>
          <w:szCs w:val="24"/>
        </w:rPr>
        <w:t xml:space="preserve"> </w:t>
      </w:r>
      <w:r w:rsidR="00FA5938" w:rsidRPr="00BD2BC2">
        <w:rPr>
          <w:sz w:val="24"/>
          <w:szCs w:val="24"/>
        </w:rPr>
        <w:t>“preliminary</w:t>
      </w:r>
      <w:r w:rsidR="00086EDD" w:rsidRPr="00BD2BC2">
        <w:rPr>
          <w:sz w:val="24"/>
          <w:szCs w:val="24"/>
        </w:rPr>
        <w:t>”</w:t>
      </w:r>
      <w:r w:rsidR="00FA5938" w:rsidRPr="00BD2BC2">
        <w:rPr>
          <w:sz w:val="24"/>
          <w:szCs w:val="24"/>
        </w:rPr>
        <w:t xml:space="preserve"> steps prior to the analysis of the raw electrophoresis data</w:t>
      </w:r>
      <w:r w:rsidR="00EC6325" w:rsidRPr="00BD2BC2">
        <w:rPr>
          <w:sz w:val="24"/>
          <w:szCs w:val="24"/>
        </w:rPr>
        <w:t xml:space="preserve"> </w:t>
      </w:r>
      <w:r w:rsidR="00BD15B5" w:rsidRPr="00BD2BC2">
        <w:rPr>
          <w:sz w:val="24"/>
          <w:szCs w:val="24"/>
        </w:rPr>
        <w:t>which</w:t>
      </w:r>
      <w:r w:rsidR="00FA5938" w:rsidRPr="00BD2BC2">
        <w:rPr>
          <w:sz w:val="24"/>
          <w:szCs w:val="24"/>
        </w:rPr>
        <w:t xml:space="preserve"> involve</w:t>
      </w:r>
      <w:r w:rsidR="00BD15B5" w:rsidRPr="00BD2BC2">
        <w:rPr>
          <w:sz w:val="24"/>
          <w:szCs w:val="24"/>
        </w:rPr>
        <w:t>d</w:t>
      </w:r>
      <w:r w:rsidR="00FA5938" w:rsidRPr="00BD2BC2">
        <w:rPr>
          <w:sz w:val="24"/>
          <w:szCs w:val="24"/>
        </w:rPr>
        <w:t xml:space="preserve"> “</w:t>
      </w:r>
      <w:r w:rsidR="008715B0" w:rsidRPr="00BD2BC2">
        <w:rPr>
          <w:sz w:val="24"/>
          <w:szCs w:val="24"/>
        </w:rPr>
        <w:t xml:space="preserve"> </w:t>
      </w:r>
      <w:r w:rsidR="00FA5938" w:rsidRPr="00BD2BC2">
        <w:rPr>
          <w:sz w:val="24"/>
          <w:szCs w:val="24"/>
        </w:rPr>
        <w:t>‘essentially ministerial tasks’</w:t>
      </w:r>
      <w:r w:rsidR="008715B0" w:rsidRPr="00BD2BC2">
        <w:rPr>
          <w:sz w:val="24"/>
          <w:szCs w:val="24"/>
        </w:rPr>
        <w:t xml:space="preserve"> </w:t>
      </w:r>
      <w:r w:rsidR="00FA5938" w:rsidRPr="00BD2BC2">
        <w:rPr>
          <w:sz w:val="24"/>
          <w:szCs w:val="24"/>
        </w:rPr>
        <w:t>” in which the analyst “simply prepare</w:t>
      </w:r>
      <w:r w:rsidR="006321A7" w:rsidRPr="00BD2BC2">
        <w:rPr>
          <w:sz w:val="24"/>
          <w:szCs w:val="24"/>
        </w:rPr>
        <w:t>(</w:t>
      </w:r>
      <w:r w:rsidR="00FA5938" w:rsidRPr="00BD2BC2">
        <w:rPr>
          <w:sz w:val="24"/>
          <w:szCs w:val="24"/>
        </w:rPr>
        <w:t>s</w:t>
      </w:r>
      <w:r w:rsidR="006321A7" w:rsidRPr="00BD2BC2">
        <w:rPr>
          <w:sz w:val="24"/>
          <w:szCs w:val="24"/>
        </w:rPr>
        <w:t>)</w:t>
      </w:r>
      <w:r w:rsidR="00FA5938" w:rsidRPr="00BD2BC2">
        <w:rPr>
          <w:sz w:val="24"/>
          <w:szCs w:val="24"/>
        </w:rPr>
        <w:t xml:space="preserve"> the DNA samples for testing”</w:t>
      </w:r>
      <w:r w:rsidR="00BD15B5" w:rsidRPr="00BD2BC2">
        <w:rPr>
          <w:sz w:val="24"/>
          <w:szCs w:val="24"/>
        </w:rPr>
        <w:t>]</w:t>
      </w:r>
      <w:r w:rsidR="008715B0" w:rsidRPr="00BD2BC2">
        <w:rPr>
          <w:sz w:val="24"/>
          <w:szCs w:val="24"/>
        </w:rPr>
        <w:t>)</w:t>
      </w:r>
      <w:r w:rsidR="00D17794" w:rsidRPr="00BD2BC2">
        <w:rPr>
          <w:sz w:val="24"/>
          <w:szCs w:val="24"/>
        </w:rPr>
        <w:t>.</w:t>
      </w:r>
      <w:r w:rsidR="00FA5938" w:rsidRPr="00BD2BC2">
        <w:rPr>
          <w:sz w:val="24"/>
          <w:szCs w:val="24"/>
        </w:rPr>
        <w:t xml:space="preserve"> </w:t>
      </w:r>
    </w:p>
    <w:p w14:paraId="1C79ED77" w14:textId="77777777" w:rsidR="00FB3C48" w:rsidRDefault="00FB3C48"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00B050"/>
          <w:sz w:val="24"/>
          <w:szCs w:val="24"/>
        </w:rPr>
      </w:pPr>
    </w:p>
    <w:p w14:paraId="0C3F5771" w14:textId="23751059" w:rsidR="00783B26" w:rsidRPr="0018406E" w:rsidRDefault="00783B26" w:rsidP="00D8411D">
      <w:pPr>
        <w:widowControl/>
        <w:numPr>
          <w:ilvl w:val="12"/>
          <w:numId w:val="0"/>
        </w:numPr>
        <w:tabs>
          <w:tab w:val="left" w:pos="0"/>
          <w:tab w:val="left" w:pos="720"/>
          <w:tab w:val="left" w:pos="1440"/>
          <w:tab w:val="left" w:pos="2159"/>
          <w:tab w:val="left" w:pos="2879"/>
          <w:tab w:val="left" w:pos="3599"/>
          <w:tab w:val="left" w:pos="4319"/>
          <w:tab w:val="left" w:pos="5039"/>
          <w:tab w:val="left" w:pos="5759"/>
          <w:tab w:val="left" w:pos="6479"/>
          <w:tab w:val="left" w:pos="7198"/>
          <w:tab w:val="left" w:pos="7918"/>
        </w:tabs>
        <w:jc w:val="both"/>
        <w:rPr>
          <w:sz w:val="24"/>
          <w:szCs w:val="24"/>
        </w:rPr>
      </w:pPr>
      <w:r w:rsidRPr="00B63755">
        <w:rPr>
          <w:sz w:val="24"/>
          <w:szCs w:val="24"/>
        </w:rPr>
        <w:lastRenderedPageBreak/>
        <w:tab/>
      </w:r>
      <w:r w:rsidRPr="0018406E">
        <w:rPr>
          <w:b/>
          <w:bCs/>
          <w:sz w:val="24"/>
          <w:szCs w:val="24"/>
        </w:rPr>
        <w:t>Subdivision (7)</w:t>
      </w:r>
      <w:r w:rsidRPr="0018406E">
        <w:rPr>
          <w:sz w:val="24"/>
          <w:szCs w:val="24"/>
        </w:rPr>
        <w:t xml:space="preserve"> notes</w:t>
      </w:r>
      <w:r w:rsidR="00384287" w:rsidRPr="0018406E">
        <w:rPr>
          <w:sz w:val="24"/>
          <w:szCs w:val="24"/>
        </w:rPr>
        <w:t xml:space="preserve"> that</w:t>
      </w:r>
      <w:r w:rsidRPr="0018406E">
        <w:rPr>
          <w:sz w:val="24"/>
          <w:szCs w:val="24"/>
        </w:rPr>
        <w:t xml:space="preserve"> </w:t>
      </w:r>
      <w:r w:rsidR="00DC087B" w:rsidRPr="0018406E">
        <w:rPr>
          <w:sz w:val="24"/>
          <w:szCs w:val="24"/>
        </w:rPr>
        <w:t xml:space="preserve">the rules </w:t>
      </w:r>
      <w:r w:rsidR="00384287" w:rsidRPr="0018406E">
        <w:rPr>
          <w:sz w:val="24"/>
          <w:szCs w:val="24"/>
        </w:rPr>
        <w:t>pertaining</w:t>
      </w:r>
      <w:r w:rsidR="00DC087B" w:rsidRPr="0018406E">
        <w:rPr>
          <w:sz w:val="24"/>
          <w:szCs w:val="24"/>
        </w:rPr>
        <w:t xml:space="preserve"> to what constitutes </w:t>
      </w:r>
      <w:r w:rsidR="000D2A28" w:rsidRPr="0018406E">
        <w:rPr>
          <w:sz w:val="24"/>
          <w:szCs w:val="24"/>
        </w:rPr>
        <w:t xml:space="preserve">testimonial </w:t>
      </w:r>
      <w:r w:rsidR="006B0F57" w:rsidRPr="0018406E">
        <w:rPr>
          <w:sz w:val="24"/>
          <w:szCs w:val="24"/>
        </w:rPr>
        <w:t xml:space="preserve">DNA </w:t>
      </w:r>
      <w:r w:rsidR="000D2A28" w:rsidRPr="0018406E">
        <w:rPr>
          <w:sz w:val="24"/>
          <w:szCs w:val="24"/>
        </w:rPr>
        <w:t xml:space="preserve">evidence </w:t>
      </w:r>
      <w:r w:rsidR="006B0F57" w:rsidRPr="0018406E">
        <w:rPr>
          <w:sz w:val="24"/>
          <w:szCs w:val="24"/>
        </w:rPr>
        <w:t>are contained in Guide to N</w:t>
      </w:r>
      <w:r w:rsidR="001D1EE2" w:rsidRPr="0018406E">
        <w:rPr>
          <w:sz w:val="24"/>
          <w:szCs w:val="24"/>
        </w:rPr>
        <w:t xml:space="preserve">ew </w:t>
      </w:r>
      <w:r w:rsidR="006B0F57" w:rsidRPr="0018406E">
        <w:rPr>
          <w:sz w:val="24"/>
          <w:szCs w:val="24"/>
        </w:rPr>
        <w:t>Y</w:t>
      </w:r>
      <w:r w:rsidR="001D1EE2" w:rsidRPr="0018406E">
        <w:rPr>
          <w:sz w:val="24"/>
          <w:szCs w:val="24"/>
        </w:rPr>
        <w:t>ork</w:t>
      </w:r>
      <w:r w:rsidR="006B0F57" w:rsidRPr="0018406E">
        <w:rPr>
          <w:sz w:val="24"/>
          <w:szCs w:val="24"/>
        </w:rPr>
        <w:t xml:space="preserve"> Evidence rule 7.21 </w:t>
      </w:r>
      <w:r w:rsidR="001D1EE2" w:rsidRPr="0018406E">
        <w:rPr>
          <w:sz w:val="24"/>
          <w:szCs w:val="24"/>
        </w:rPr>
        <w:t>(</w:t>
      </w:r>
      <w:r w:rsidR="006B0F57" w:rsidRPr="0018406E">
        <w:rPr>
          <w:sz w:val="24"/>
          <w:szCs w:val="24"/>
        </w:rPr>
        <w:t>DNA Evidence</w:t>
      </w:r>
      <w:r w:rsidR="001D1EE2" w:rsidRPr="0018406E">
        <w:rPr>
          <w:sz w:val="24"/>
          <w:szCs w:val="24"/>
        </w:rPr>
        <w:t>)</w:t>
      </w:r>
      <w:r w:rsidR="006B0F57" w:rsidRPr="0018406E">
        <w:rPr>
          <w:sz w:val="24"/>
          <w:szCs w:val="24"/>
        </w:rPr>
        <w:t>.</w:t>
      </w:r>
    </w:p>
    <w:p w14:paraId="05050B97" w14:textId="1DCB8333" w:rsidR="00935F1B" w:rsidRPr="00B63755" w:rsidRDefault="00935F1B" w:rsidP="00D8411D">
      <w:pPr>
        <w:widowControl/>
        <w:numPr>
          <w:ilvl w:val="12"/>
          <w:numId w:val="0"/>
        </w:numPr>
        <w:tabs>
          <w:tab w:val="left" w:pos="0"/>
          <w:tab w:val="left" w:pos="720"/>
          <w:tab w:val="left" w:pos="1440"/>
          <w:tab w:val="left" w:pos="2159"/>
          <w:tab w:val="left" w:pos="2879"/>
          <w:tab w:val="left" w:pos="3599"/>
          <w:tab w:val="left" w:pos="4319"/>
          <w:tab w:val="left" w:pos="5039"/>
          <w:tab w:val="left" w:pos="5759"/>
          <w:tab w:val="left" w:pos="6479"/>
          <w:tab w:val="left" w:pos="7198"/>
          <w:tab w:val="left" w:pos="7918"/>
        </w:tabs>
        <w:jc w:val="both"/>
        <w:rPr>
          <w:b/>
          <w:bCs/>
          <w:sz w:val="24"/>
          <w:szCs w:val="24"/>
        </w:rPr>
      </w:pPr>
    </w:p>
    <w:p w14:paraId="742D2B11" w14:textId="1DB88985" w:rsidR="002B7B3C" w:rsidRPr="00B63755" w:rsidRDefault="002B7B3C" w:rsidP="00D8411D">
      <w:pPr>
        <w:widowControl/>
        <w:numPr>
          <w:ilvl w:val="12"/>
          <w:numId w:val="0"/>
        </w:numPr>
        <w:tabs>
          <w:tab w:val="left" w:pos="0"/>
          <w:tab w:val="left" w:pos="720"/>
          <w:tab w:val="left" w:pos="1440"/>
          <w:tab w:val="left" w:pos="2159"/>
          <w:tab w:val="left" w:pos="2879"/>
          <w:tab w:val="left" w:pos="3599"/>
          <w:tab w:val="left" w:pos="4319"/>
          <w:tab w:val="left" w:pos="5039"/>
          <w:tab w:val="left" w:pos="5759"/>
          <w:tab w:val="left" w:pos="6479"/>
          <w:tab w:val="left" w:pos="7198"/>
          <w:tab w:val="left" w:pos="7918"/>
        </w:tabs>
        <w:jc w:val="both"/>
        <w:rPr>
          <w:sz w:val="24"/>
          <w:szCs w:val="24"/>
        </w:rPr>
      </w:pPr>
      <w:r w:rsidRPr="00B63755">
        <w:rPr>
          <w:b/>
          <w:bCs/>
          <w:sz w:val="24"/>
          <w:szCs w:val="24"/>
        </w:rPr>
        <w:tab/>
        <w:t>Subdivision (</w:t>
      </w:r>
      <w:r w:rsidR="00783B26" w:rsidRPr="00B63755">
        <w:rPr>
          <w:b/>
          <w:bCs/>
          <w:sz w:val="24"/>
          <w:szCs w:val="24"/>
        </w:rPr>
        <w:t>8</w:t>
      </w:r>
      <w:r w:rsidRPr="00B63755">
        <w:rPr>
          <w:b/>
          <w:bCs/>
          <w:sz w:val="24"/>
          <w:szCs w:val="24"/>
        </w:rPr>
        <w:t xml:space="preserve">) </w:t>
      </w:r>
      <w:r w:rsidRPr="00B63755">
        <w:rPr>
          <w:sz w:val="24"/>
          <w:szCs w:val="24"/>
        </w:rPr>
        <w:t>is derived from</w:t>
      </w:r>
      <w:r w:rsidRPr="00B63755">
        <w:rPr>
          <w:b/>
          <w:bCs/>
          <w:sz w:val="24"/>
          <w:szCs w:val="24"/>
        </w:rPr>
        <w:t xml:space="preserve"> </w:t>
      </w:r>
      <w:r w:rsidRPr="00B63755">
        <w:rPr>
          <w:i/>
          <w:iCs/>
          <w:sz w:val="24"/>
          <w:szCs w:val="24"/>
        </w:rPr>
        <w:t>Hemphill v New York</w:t>
      </w:r>
      <w:r w:rsidRPr="00B63755">
        <w:rPr>
          <w:sz w:val="24"/>
          <w:szCs w:val="24"/>
        </w:rPr>
        <w:t xml:space="preserve"> </w:t>
      </w:r>
      <w:r w:rsidR="009C6053" w:rsidRPr="00B63755">
        <w:rPr>
          <w:sz w:val="24"/>
          <w:szCs w:val="24"/>
        </w:rPr>
        <w:t>(</w:t>
      </w:r>
      <w:r w:rsidRPr="00B63755">
        <w:rPr>
          <w:sz w:val="24"/>
          <w:szCs w:val="24"/>
        </w:rPr>
        <w:t>595 US</w:t>
      </w:r>
      <w:r w:rsidR="009C6053" w:rsidRPr="00B63755">
        <w:rPr>
          <w:sz w:val="24"/>
          <w:szCs w:val="24"/>
        </w:rPr>
        <w:t xml:space="preserve"> </w:t>
      </w:r>
      <w:r w:rsidR="00B300D3" w:rsidRPr="00B63755">
        <w:rPr>
          <w:sz w:val="24"/>
          <w:szCs w:val="24"/>
        </w:rPr>
        <w:t>140</w:t>
      </w:r>
      <w:bookmarkStart w:id="3" w:name="_Hlk99723670"/>
      <w:r w:rsidRPr="00B63755">
        <w:rPr>
          <w:sz w:val="24"/>
          <w:szCs w:val="24"/>
        </w:rPr>
        <w:t xml:space="preserve"> </w:t>
      </w:r>
      <w:bookmarkEnd w:id="3"/>
      <w:r w:rsidRPr="00B63755">
        <w:rPr>
          <w:sz w:val="24"/>
          <w:szCs w:val="24"/>
        </w:rPr>
        <w:t>[2022]</w:t>
      </w:r>
      <w:r w:rsidR="009C6053" w:rsidRPr="00B63755">
        <w:rPr>
          <w:sz w:val="24"/>
          <w:szCs w:val="24"/>
        </w:rPr>
        <w:t>).</w:t>
      </w:r>
      <w:r w:rsidR="008569EF" w:rsidRPr="00B63755">
        <w:rPr>
          <w:sz w:val="24"/>
          <w:szCs w:val="24"/>
        </w:rPr>
        <w:t xml:space="preserve"> </w:t>
      </w:r>
      <w:r w:rsidR="008204C5" w:rsidRPr="00B63755">
        <w:rPr>
          <w:sz w:val="24"/>
          <w:szCs w:val="24"/>
        </w:rPr>
        <w:t>Contrary to</w:t>
      </w:r>
      <w:r w:rsidR="006E638C" w:rsidRPr="00B63755">
        <w:rPr>
          <w:sz w:val="24"/>
          <w:szCs w:val="24"/>
        </w:rPr>
        <w:t xml:space="preserve"> the princip</w:t>
      </w:r>
      <w:r w:rsidR="007B3052" w:rsidRPr="00B63755">
        <w:rPr>
          <w:sz w:val="24"/>
          <w:szCs w:val="24"/>
        </w:rPr>
        <w:t xml:space="preserve">le </w:t>
      </w:r>
      <w:r w:rsidR="006E638C" w:rsidRPr="00B63755">
        <w:rPr>
          <w:sz w:val="24"/>
          <w:szCs w:val="24"/>
        </w:rPr>
        <w:t>set forth in</w:t>
      </w:r>
      <w:r w:rsidR="008204C5" w:rsidRPr="00B63755">
        <w:rPr>
          <w:sz w:val="24"/>
          <w:szCs w:val="24"/>
        </w:rPr>
        <w:t xml:space="preserve"> </w:t>
      </w:r>
      <w:r w:rsidR="008204C5" w:rsidRPr="00B63755">
        <w:rPr>
          <w:i/>
          <w:iCs/>
          <w:sz w:val="24"/>
          <w:szCs w:val="24"/>
        </w:rPr>
        <w:t>People v Reid</w:t>
      </w:r>
      <w:r w:rsidR="008204C5" w:rsidRPr="00B63755">
        <w:rPr>
          <w:sz w:val="24"/>
          <w:szCs w:val="24"/>
        </w:rPr>
        <w:t xml:space="preserve"> </w:t>
      </w:r>
      <w:r w:rsidR="009C6053" w:rsidRPr="00B63755">
        <w:rPr>
          <w:sz w:val="24"/>
          <w:szCs w:val="24"/>
        </w:rPr>
        <w:t>(</w:t>
      </w:r>
      <w:r w:rsidR="008204C5" w:rsidRPr="00B63755">
        <w:rPr>
          <w:sz w:val="24"/>
          <w:szCs w:val="24"/>
        </w:rPr>
        <w:t>19 NY3d 382 [2012]</w:t>
      </w:r>
      <w:r w:rsidR="009C6053" w:rsidRPr="00B63755">
        <w:rPr>
          <w:sz w:val="24"/>
          <w:szCs w:val="24"/>
        </w:rPr>
        <w:t>)</w:t>
      </w:r>
      <w:r w:rsidR="003311FD" w:rsidRPr="00B63755">
        <w:rPr>
          <w:sz w:val="24"/>
          <w:szCs w:val="24"/>
        </w:rPr>
        <w:t xml:space="preserve"> </w:t>
      </w:r>
      <w:r w:rsidR="008569EF" w:rsidRPr="00B63755">
        <w:rPr>
          <w:sz w:val="24"/>
          <w:szCs w:val="24"/>
        </w:rPr>
        <w:t xml:space="preserve">that was applied in </w:t>
      </w:r>
      <w:r w:rsidR="008569EF" w:rsidRPr="00B63755">
        <w:rPr>
          <w:i/>
          <w:iCs/>
          <w:sz w:val="24"/>
          <w:szCs w:val="24"/>
        </w:rPr>
        <w:t>People v Hemphill</w:t>
      </w:r>
      <w:r w:rsidR="008569EF" w:rsidRPr="00B63755">
        <w:rPr>
          <w:sz w:val="24"/>
          <w:szCs w:val="24"/>
        </w:rPr>
        <w:t xml:space="preserve"> </w:t>
      </w:r>
      <w:r w:rsidR="009C6053" w:rsidRPr="00B63755">
        <w:rPr>
          <w:sz w:val="24"/>
          <w:szCs w:val="24"/>
        </w:rPr>
        <w:t>(</w:t>
      </w:r>
      <w:r w:rsidR="008569EF" w:rsidRPr="00B63755">
        <w:rPr>
          <w:sz w:val="24"/>
          <w:szCs w:val="24"/>
        </w:rPr>
        <w:t>173 AD3d 471</w:t>
      </w:r>
      <w:r w:rsidR="009C6053" w:rsidRPr="00B63755">
        <w:rPr>
          <w:sz w:val="24"/>
          <w:szCs w:val="24"/>
        </w:rPr>
        <w:t xml:space="preserve"> [1st Dept 2019],</w:t>
      </w:r>
      <w:r w:rsidR="008569EF" w:rsidRPr="00B63755">
        <w:rPr>
          <w:sz w:val="24"/>
          <w:szCs w:val="24"/>
        </w:rPr>
        <w:t xml:space="preserve"> </w:t>
      </w:r>
      <w:r w:rsidR="008569EF" w:rsidRPr="00B63755">
        <w:rPr>
          <w:i/>
          <w:iCs/>
          <w:sz w:val="24"/>
          <w:szCs w:val="24"/>
        </w:rPr>
        <w:t>affd</w:t>
      </w:r>
      <w:r w:rsidR="008569EF" w:rsidRPr="00B63755">
        <w:rPr>
          <w:sz w:val="24"/>
          <w:szCs w:val="24"/>
        </w:rPr>
        <w:t xml:space="preserve"> 35 NY3d 1035</w:t>
      </w:r>
      <w:r w:rsidR="00935F1B" w:rsidRPr="00B63755">
        <w:rPr>
          <w:sz w:val="24"/>
          <w:szCs w:val="24"/>
        </w:rPr>
        <w:t xml:space="preserve"> </w:t>
      </w:r>
      <w:r w:rsidR="00BE6689" w:rsidRPr="00B63755">
        <w:rPr>
          <w:sz w:val="24"/>
          <w:szCs w:val="24"/>
        </w:rPr>
        <w:t>[2020]</w:t>
      </w:r>
      <w:r w:rsidR="009C6053" w:rsidRPr="00B63755">
        <w:rPr>
          <w:sz w:val="24"/>
          <w:szCs w:val="24"/>
        </w:rPr>
        <w:t>)</w:t>
      </w:r>
      <w:r w:rsidR="00935F1B" w:rsidRPr="00B63755">
        <w:rPr>
          <w:sz w:val="24"/>
          <w:szCs w:val="24"/>
        </w:rPr>
        <w:t xml:space="preserve">, </w:t>
      </w:r>
      <w:r w:rsidR="0042184F" w:rsidRPr="00B63755">
        <w:rPr>
          <w:sz w:val="24"/>
          <w:szCs w:val="24"/>
        </w:rPr>
        <w:t xml:space="preserve">the Supreme Court </w:t>
      </w:r>
      <w:r w:rsidRPr="00B63755">
        <w:rPr>
          <w:sz w:val="24"/>
          <w:szCs w:val="24"/>
        </w:rPr>
        <w:t xml:space="preserve">held that the “opening the door to evidence” principle must not permit the introduction of evidence in violation of the Sixth Amendment’s Confrontation Clause. In </w:t>
      </w:r>
      <w:r w:rsidRPr="00B63755">
        <w:rPr>
          <w:i/>
          <w:iCs/>
          <w:sz w:val="24"/>
          <w:szCs w:val="24"/>
        </w:rPr>
        <w:t>Hemphill</w:t>
      </w:r>
      <w:r w:rsidRPr="00B63755">
        <w:rPr>
          <w:sz w:val="24"/>
          <w:szCs w:val="24"/>
        </w:rPr>
        <w:t>, the defense to a murder indictment rested u</w:t>
      </w:r>
      <w:r w:rsidR="00CA5CEB" w:rsidRPr="00B63755">
        <w:rPr>
          <w:sz w:val="24"/>
          <w:szCs w:val="24"/>
        </w:rPr>
        <w:t>p</w:t>
      </w:r>
      <w:r w:rsidRPr="00B63755">
        <w:rPr>
          <w:sz w:val="24"/>
          <w:szCs w:val="24"/>
        </w:rPr>
        <w:t>on a claimed third party’s culpability; in accord with New York’s then “opening the door to evidence” principle, the trial court allowed the introduction of the third party’s guilty plea when the third party was unavailable to testify.</w:t>
      </w:r>
      <w:r w:rsidR="009C6053" w:rsidRPr="00B63755">
        <w:rPr>
          <w:sz w:val="24"/>
          <w:szCs w:val="24"/>
        </w:rPr>
        <w:t xml:space="preserve"> </w:t>
      </w:r>
      <w:r w:rsidRPr="00B63755">
        <w:rPr>
          <w:sz w:val="24"/>
          <w:szCs w:val="24"/>
        </w:rPr>
        <w:t xml:space="preserve">The parties did not dispute that the third party’s guilty plea was “testimonial” hearsay, and the Supreme Court then held its admission to be in violation of the Confrontation Clause. Thus, even if it may be argued that “unconfronted, testimonial hearsay” would respond to a party’s misleading impression on an issue, it is not admissible: “[The Confrontation Clause] admits no exception for cases in which the trial judge believes unconfronted testimonial hearsay might be reasonably necessary to correct a misleading impression. Courts may not overlook its command, no matter how noble the motive” </w:t>
      </w:r>
      <w:bookmarkStart w:id="4" w:name="_Hlk99723789"/>
      <w:r w:rsidRPr="00B63755">
        <w:rPr>
          <w:sz w:val="24"/>
          <w:szCs w:val="24"/>
        </w:rPr>
        <w:t xml:space="preserve">(595 US </w:t>
      </w:r>
      <w:r w:rsidR="00791624" w:rsidRPr="00B63755">
        <w:rPr>
          <w:sz w:val="24"/>
          <w:szCs w:val="24"/>
        </w:rPr>
        <w:t xml:space="preserve">at </w:t>
      </w:r>
      <w:r w:rsidR="00C803AD" w:rsidRPr="00B63755">
        <w:rPr>
          <w:sz w:val="24"/>
          <w:szCs w:val="24"/>
        </w:rPr>
        <w:t>154</w:t>
      </w:r>
      <w:r w:rsidRPr="00B63755">
        <w:rPr>
          <w:sz w:val="24"/>
          <w:szCs w:val="24"/>
        </w:rPr>
        <w:t>).</w:t>
      </w:r>
    </w:p>
    <w:bookmarkEnd w:id="4"/>
    <w:p w14:paraId="03DA2025" w14:textId="77777777" w:rsidR="002B7B3C" w:rsidRPr="00B63755" w:rsidRDefault="002B7B3C" w:rsidP="00D8411D">
      <w:pPr>
        <w:widowControl/>
        <w:numPr>
          <w:ilvl w:val="12"/>
          <w:numId w:val="0"/>
        </w:numPr>
        <w:tabs>
          <w:tab w:val="left" w:pos="0"/>
          <w:tab w:val="left" w:pos="720"/>
          <w:tab w:val="left" w:pos="1440"/>
          <w:tab w:val="left" w:pos="2159"/>
          <w:tab w:val="left" w:pos="2879"/>
          <w:tab w:val="left" w:pos="3599"/>
          <w:tab w:val="left" w:pos="4319"/>
          <w:tab w:val="left" w:pos="5039"/>
          <w:tab w:val="left" w:pos="5759"/>
          <w:tab w:val="left" w:pos="6479"/>
          <w:tab w:val="left" w:pos="7198"/>
          <w:tab w:val="left" w:pos="7918"/>
        </w:tabs>
        <w:jc w:val="both"/>
        <w:rPr>
          <w:sz w:val="24"/>
          <w:szCs w:val="24"/>
        </w:rPr>
      </w:pPr>
    </w:p>
    <w:p w14:paraId="620FCD62" w14:textId="5DF82263" w:rsidR="002B7B3C" w:rsidRPr="00B63755" w:rsidRDefault="002B7B3C" w:rsidP="00D8411D">
      <w:pPr>
        <w:widowControl/>
        <w:numPr>
          <w:ilvl w:val="12"/>
          <w:numId w:val="0"/>
        </w:numPr>
        <w:tabs>
          <w:tab w:val="left" w:pos="0"/>
          <w:tab w:val="left" w:pos="720"/>
          <w:tab w:val="left" w:pos="1440"/>
          <w:tab w:val="left" w:pos="2159"/>
          <w:tab w:val="left" w:pos="2879"/>
          <w:tab w:val="left" w:pos="3599"/>
          <w:tab w:val="left" w:pos="4319"/>
          <w:tab w:val="left" w:pos="5039"/>
          <w:tab w:val="left" w:pos="5759"/>
          <w:tab w:val="left" w:pos="6479"/>
          <w:tab w:val="left" w:pos="7198"/>
          <w:tab w:val="left" w:pos="7918"/>
        </w:tabs>
        <w:jc w:val="both"/>
        <w:rPr>
          <w:sz w:val="24"/>
          <w:szCs w:val="24"/>
        </w:rPr>
      </w:pPr>
      <w:r w:rsidRPr="00B63755">
        <w:rPr>
          <w:sz w:val="24"/>
          <w:szCs w:val="24"/>
        </w:rPr>
        <w:tab/>
        <w:t xml:space="preserve">The Supreme Court, however, made a point of stating that “the Court does not decide today the validity of the common-law rule of completeness as applied to testimonial hearsay. Under that rule, a party against whom a part of an utterance has been put in, may in his turn complement it by putting in the remainder. The parties agree that the rule of completeness does not apply to the facts of this case, as Morris’ plea allocution was not part of any statement that Hemphill introduced. Whether and under what circumstances that rule might allow the admission of testimonial hearsay against a criminal defendant presents different issues that are not before this Court” (595 US </w:t>
      </w:r>
      <w:r w:rsidR="00791624" w:rsidRPr="00B63755">
        <w:rPr>
          <w:sz w:val="24"/>
          <w:szCs w:val="24"/>
        </w:rPr>
        <w:t>at</w:t>
      </w:r>
      <w:r w:rsidR="00295498" w:rsidRPr="00B63755">
        <w:rPr>
          <w:sz w:val="24"/>
          <w:szCs w:val="24"/>
        </w:rPr>
        <w:t xml:space="preserve"> </w:t>
      </w:r>
      <w:r w:rsidR="00B830E5" w:rsidRPr="00B63755">
        <w:rPr>
          <w:sz w:val="24"/>
          <w:szCs w:val="24"/>
        </w:rPr>
        <w:t>155-</w:t>
      </w:r>
      <w:r w:rsidR="00295498" w:rsidRPr="00B63755">
        <w:rPr>
          <w:sz w:val="24"/>
          <w:szCs w:val="24"/>
        </w:rPr>
        <w:t>156</w:t>
      </w:r>
      <w:r w:rsidRPr="00B63755">
        <w:rPr>
          <w:sz w:val="24"/>
          <w:szCs w:val="24"/>
        </w:rPr>
        <w:t xml:space="preserve"> [internal quotation marks and citations omitted]; </w:t>
      </w:r>
      <w:r w:rsidRPr="00B63755">
        <w:rPr>
          <w:i/>
          <w:iCs/>
          <w:sz w:val="24"/>
          <w:szCs w:val="24"/>
        </w:rPr>
        <w:t>see</w:t>
      </w:r>
      <w:r w:rsidRPr="00B63755">
        <w:rPr>
          <w:sz w:val="24"/>
          <w:szCs w:val="24"/>
        </w:rPr>
        <w:t xml:space="preserve"> Guide to NY Evid rule 4.03).</w:t>
      </w:r>
    </w:p>
    <w:p w14:paraId="18BD9289" w14:textId="77777777" w:rsidR="003452C7" w:rsidRPr="00B63755" w:rsidRDefault="003452C7" w:rsidP="00D841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sectPr w:rsidR="003452C7" w:rsidRPr="00B63755" w:rsidSect="00B936B3">
      <w:footerReference w:type="default" r:id="rId8"/>
      <w:endnotePr>
        <w:numFmt w:val="decimal"/>
      </w:endnotePr>
      <w:pgSz w:w="12240" w:h="15840" w:code="1"/>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E27882" w14:textId="77777777" w:rsidR="00B936B3" w:rsidRDefault="00B936B3">
      <w:r>
        <w:separator/>
      </w:r>
    </w:p>
  </w:endnote>
  <w:endnote w:type="continuationSeparator" w:id="0">
    <w:p w14:paraId="4B1741EA" w14:textId="77777777" w:rsidR="00B936B3" w:rsidRDefault="00B936B3">
      <w:r>
        <w:continuationSeparator/>
      </w:r>
    </w:p>
  </w:endnote>
  <w:endnote w:id="1">
    <w:p w14:paraId="7F96A13D" w14:textId="502C05DC" w:rsidR="0066419A" w:rsidRPr="00B63755" w:rsidRDefault="000D0D36" w:rsidP="007E3E1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trike/>
          <w:sz w:val="22"/>
          <w:szCs w:val="22"/>
        </w:rPr>
      </w:pPr>
      <w:r w:rsidRPr="0062255D">
        <w:rPr>
          <w:rStyle w:val="EndnoteReference"/>
          <w:sz w:val="24"/>
          <w:szCs w:val="24"/>
        </w:rPr>
        <w:endnoteRef/>
      </w:r>
      <w:r w:rsidRPr="0062255D">
        <w:rPr>
          <w:sz w:val="24"/>
          <w:szCs w:val="24"/>
        </w:rPr>
        <w:t xml:space="preserve"> </w:t>
      </w:r>
      <w:r w:rsidR="005A2576">
        <w:rPr>
          <w:sz w:val="24"/>
          <w:szCs w:val="24"/>
        </w:rPr>
        <w:tab/>
      </w:r>
      <w:r w:rsidRPr="0062255D">
        <w:rPr>
          <w:sz w:val="22"/>
          <w:szCs w:val="22"/>
        </w:rPr>
        <w:t>In June 2022, th</w:t>
      </w:r>
      <w:r w:rsidR="00006C74" w:rsidRPr="0062255D">
        <w:rPr>
          <w:sz w:val="22"/>
          <w:szCs w:val="22"/>
        </w:rPr>
        <w:t>is</w:t>
      </w:r>
      <w:r w:rsidRPr="0062255D">
        <w:rPr>
          <w:sz w:val="22"/>
          <w:szCs w:val="22"/>
        </w:rPr>
        <w:t xml:space="preserve"> </w:t>
      </w:r>
      <w:r w:rsidR="00406D80" w:rsidRPr="0062255D">
        <w:rPr>
          <w:sz w:val="22"/>
          <w:szCs w:val="22"/>
        </w:rPr>
        <w:t xml:space="preserve">rule </w:t>
      </w:r>
      <w:r w:rsidR="00006C74" w:rsidRPr="0062255D">
        <w:rPr>
          <w:sz w:val="22"/>
          <w:szCs w:val="22"/>
        </w:rPr>
        <w:t>was</w:t>
      </w:r>
      <w:r w:rsidR="00406D80" w:rsidRPr="0062255D">
        <w:rPr>
          <w:sz w:val="22"/>
          <w:szCs w:val="22"/>
        </w:rPr>
        <w:t xml:space="preserve"> amended</w:t>
      </w:r>
      <w:r w:rsidR="00AF0A59" w:rsidRPr="0062255D">
        <w:rPr>
          <w:sz w:val="22"/>
          <w:szCs w:val="22"/>
        </w:rPr>
        <w:t xml:space="preserve"> </w:t>
      </w:r>
      <w:r w:rsidR="00406D80" w:rsidRPr="0062255D">
        <w:rPr>
          <w:sz w:val="22"/>
          <w:szCs w:val="22"/>
        </w:rPr>
        <w:t xml:space="preserve">to </w:t>
      </w:r>
      <w:r w:rsidR="00570BBA" w:rsidRPr="0062255D">
        <w:rPr>
          <w:sz w:val="22"/>
          <w:szCs w:val="22"/>
        </w:rPr>
        <w:t>add subdivision (7)</w:t>
      </w:r>
      <w:r w:rsidR="00E87E7D" w:rsidRPr="0062255D">
        <w:rPr>
          <w:sz w:val="22"/>
          <w:szCs w:val="22"/>
        </w:rPr>
        <w:t xml:space="preserve"> with a corresponding Note</w:t>
      </w:r>
      <w:r w:rsidR="00E87E7D" w:rsidRPr="0062255D">
        <w:rPr>
          <w:sz w:val="22"/>
          <w:szCs w:val="22"/>
          <w:lang w:val="en-CA"/>
        </w:rPr>
        <w:t xml:space="preserve"> </w:t>
      </w:r>
      <w:r w:rsidR="00846387" w:rsidRPr="0062255D">
        <w:rPr>
          <w:sz w:val="22"/>
          <w:szCs w:val="22"/>
          <w:lang w:val="en-CA"/>
        </w:rPr>
        <w:t xml:space="preserve">to incorporate the rule of </w:t>
      </w:r>
      <w:r w:rsidR="008F4E13" w:rsidRPr="0062255D">
        <w:rPr>
          <w:i/>
          <w:iCs/>
          <w:sz w:val="22"/>
          <w:szCs w:val="22"/>
        </w:rPr>
        <w:t>Hemphill v New York</w:t>
      </w:r>
      <w:r w:rsidR="008F4E13" w:rsidRPr="0062255D">
        <w:rPr>
          <w:sz w:val="22"/>
          <w:szCs w:val="22"/>
        </w:rPr>
        <w:t xml:space="preserve"> </w:t>
      </w:r>
      <w:r w:rsidR="00785E1F" w:rsidRPr="0062255D">
        <w:rPr>
          <w:sz w:val="22"/>
          <w:szCs w:val="22"/>
        </w:rPr>
        <w:t>(</w:t>
      </w:r>
      <w:r w:rsidR="008F4E13" w:rsidRPr="0062255D">
        <w:rPr>
          <w:sz w:val="22"/>
          <w:szCs w:val="22"/>
        </w:rPr>
        <w:t>595 US</w:t>
      </w:r>
      <w:r w:rsidR="003C1615">
        <w:rPr>
          <w:sz w:val="22"/>
          <w:szCs w:val="22"/>
        </w:rPr>
        <w:t xml:space="preserve"> </w:t>
      </w:r>
      <w:r w:rsidR="003C1615" w:rsidRPr="00B63755">
        <w:rPr>
          <w:sz w:val="22"/>
          <w:szCs w:val="22"/>
        </w:rPr>
        <w:t xml:space="preserve">140 </w:t>
      </w:r>
      <w:r w:rsidR="008F4E13" w:rsidRPr="00B63755">
        <w:rPr>
          <w:sz w:val="22"/>
          <w:szCs w:val="22"/>
        </w:rPr>
        <w:t>[2022]</w:t>
      </w:r>
      <w:r w:rsidR="00785E1F" w:rsidRPr="00B63755">
        <w:rPr>
          <w:sz w:val="22"/>
          <w:szCs w:val="22"/>
        </w:rPr>
        <w:t>)</w:t>
      </w:r>
      <w:r w:rsidR="00FF5A5B" w:rsidRPr="00B63755">
        <w:rPr>
          <w:sz w:val="22"/>
          <w:szCs w:val="22"/>
        </w:rPr>
        <w:t>.</w:t>
      </w:r>
      <w:r w:rsidR="00917E41" w:rsidRPr="00B63755">
        <w:rPr>
          <w:sz w:val="22"/>
          <w:szCs w:val="22"/>
        </w:rPr>
        <w:t xml:space="preserve"> </w:t>
      </w:r>
    </w:p>
    <w:p w14:paraId="143760AF" w14:textId="1D2B34B8" w:rsidR="00F43B15" w:rsidRDefault="00C95EA2" w:rsidP="007E3E1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2"/>
          <w:szCs w:val="22"/>
        </w:rPr>
      </w:pPr>
      <w:r w:rsidRPr="00B63755">
        <w:rPr>
          <w:sz w:val="22"/>
          <w:szCs w:val="22"/>
        </w:rPr>
        <w:tab/>
      </w:r>
      <w:r w:rsidR="00F43B15" w:rsidRPr="00B63755">
        <w:rPr>
          <w:sz w:val="22"/>
          <w:szCs w:val="22"/>
        </w:rPr>
        <w:t xml:space="preserve">In December 2023, </w:t>
      </w:r>
      <w:r w:rsidR="006041AD" w:rsidRPr="00B63755">
        <w:rPr>
          <w:sz w:val="22"/>
          <w:szCs w:val="22"/>
        </w:rPr>
        <w:t xml:space="preserve">the </w:t>
      </w:r>
      <w:r w:rsidR="006C16DD" w:rsidRPr="00B63755">
        <w:rPr>
          <w:sz w:val="22"/>
          <w:szCs w:val="22"/>
        </w:rPr>
        <w:t>subdivision (6)</w:t>
      </w:r>
      <w:r w:rsidR="00613286" w:rsidRPr="00B63755">
        <w:rPr>
          <w:sz w:val="22"/>
          <w:szCs w:val="22"/>
        </w:rPr>
        <w:t xml:space="preserve"> rule as it related to an autopsy </w:t>
      </w:r>
      <w:r w:rsidR="00613286" w:rsidRPr="006C0D17">
        <w:rPr>
          <w:sz w:val="22"/>
          <w:szCs w:val="22"/>
        </w:rPr>
        <w:t xml:space="preserve">report was revised to accord with the </w:t>
      </w:r>
      <w:r w:rsidR="00F43B15" w:rsidRPr="006C0D17">
        <w:rPr>
          <w:sz w:val="22"/>
          <w:szCs w:val="22"/>
        </w:rPr>
        <w:t>Court of Appeals decision cited in</w:t>
      </w:r>
      <w:r w:rsidR="00C6526A" w:rsidRPr="006C0D17">
        <w:rPr>
          <w:sz w:val="22"/>
          <w:szCs w:val="22"/>
        </w:rPr>
        <w:t xml:space="preserve"> </w:t>
      </w:r>
      <w:r w:rsidR="00F43B15" w:rsidRPr="006C0D17">
        <w:rPr>
          <w:sz w:val="22"/>
          <w:szCs w:val="22"/>
        </w:rPr>
        <w:t xml:space="preserve">the </w:t>
      </w:r>
      <w:r w:rsidR="007624EA" w:rsidRPr="006C0D17">
        <w:rPr>
          <w:sz w:val="22"/>
          <w:szCs w:val="22"/>
        </w:rPr>
        <w:t>Note</w:t>
      </w:r>
      <w:r w:rsidR="006041AD" w:rsidRPr="006C0D17">
        <w:rPr>
          <w:sz w:val="22"/>
          <w:szCs w:val="22"/>
        </w:rPr>
        <w:t xml:space="preserve"> under subdivision (6)</w:t>
      </w:r>
      <w:r w:rsidR="00B830E5">
        <w:rPr>
          <w:sz w:val="22"/>
          <w:szCs w:val="22"/>
        </w:rPr>
        <w:t xml:space="preserve"> </w:t>
      </w:r>
      <w:r w:rsidR="006041AD" w:rsidRPr="006C0D17">
        <w:rPr>
          <w:sz w:val="22"/>
          <w:szCs w:val="22"/>
        </w:rPr>
        <w:t>(c)</w:t>
      </w:r>
      <w:r w:rsidR="007624EA" w:rsidRPr="006C0D17">
        <w:rPr>
          <w:sz w:val="22"/>
          <w:szCs w:val="22"/>
        </w:rPr>
        <w:t>.</w:t>
      </w:r>
    </w:p>
    <w:p w14:paraId="1AD54F5A" w14:textId="408C1640" w:rsidR="00EA19C6" w:rsidRPr="0018406E" w:rsidRDefault="00C95EA2" w:rsidP="00C95EA2">
      <w:pPr>
        <w:tabs>
          <w:tab w:val="left" w:pos="720"/>
        </w:tabs>
        <w:jc w:val="both"/>
        <w:rPr>
          <w:b/>
          <w:bCs/>
          <w:sz w:val="24"/>
          <w:szCs w:val="24"/>
        </w:rPr>
      </w:pPr>
      <w:r w:rsidRPr="00B63755">
        <w:rPr>
          <w:sz w:val="22"/>
          <w:szCs w:val="22"/>
        </w:rPr>
        <w:tab/>
      </w:r>
      <w:r w:rsidR="00EA19C6" w:rsidRPr="0018406E">
        <w:rPr>
          <w:sz w:val="24"/>
          <w:szCs w:val="24"/>
        </w:rPr>
        <w:t xml:space="preserve">In </w:t>
      </w:r>
      <w:r w:rsidR="009B58C8" w:rsidRPr="0018406E">
        <w:rPr>
          <w:sz w:val="24"/>
          <w:szCs w:val="24"/>
        </w:rPr>
        <w:t>M</w:t>
      </w:r>
      <w:r w:rsidR="00927687" w:rsidRPr="0018406E">
        <w:rPr>
          <w:sz w:val="24"/>
          <w:szCs w:val="24"/>
        </w:rPr>
        <w:t>ay</w:t>
      </w:r>
      <w:r w:rsidR="00EA19C6" w:rsidRPr="0018406E">
        <w:rPr>
          <w:sz w:val="24"/>
          <w:szCs w:val="24"/>
        </w:rPr>
        <w:t xml:space="preserve"> 2024, subdivision </w:t>
      </w:r>
      <w:r w:rsidR="008561D9" w:rsidRPr="0018406E">
        <w:rPr>
          <w:sz w:val="24"/>
          <w:szCs w:val="24"/>
        </w:rPr>
        <w:t>(</w:t>
      </w:r>
      <w:r w:rsidR="006E0A5E" w:rsidRPr="0018406E">
        <w:rPr>
          <w:sz w:val="24"/>
          <w:szCs w:val="24"/>
        </w:rPr>
        <w:t>6</w:t>
      </w:r>
      <w:r w:rsidR="008561D9" w:rsidRPr="0018406E">
        <w:rPr>
          <w:sz w:val="24"/>
          <w:szCs w:val="24"/>
        </w:rPr>
        <w:t>)</w:t>
      </w:r>
      <w:r w:rsidR="00B830E5" w:rsidRPr="0018406E">
        <w:rPr>
          <w:sz w:val="24"/>
          <w:szCs w:val="24"/>
        </w:rPr>
        <w:t xml:space="preserve"> </w:t>
      </w:r>
      <w:r w:rsidR="003A136D" w:rsidRPr="0018406E">
        <w:rPr>
          <w:sz w:val="24"/>
          <w:szCs w:val="24"/>
        </w:rPr>
        <w:t xml:space="preserve">(d) </w:t>
      </w:r>
      <w:r w:rsidR="008561D9" w:rsidRPr="0018406E">
        <w:rPr>
          <w:sz w:val="24"/>
          <w:szCs w:val="24"/>
        </w:rPr>
        <w:t xml:space="preserve">(ii) relating to DNA evidence was deleted </w:t>
      </w:r>
      <w:r w:rsidR="006E0A5E" w:rsidRPr="0018406E">
        <w:rPr>
          <w:sz w:val="24"/>
          <w:szCs w:val="24"/>
        </w:rPr>
        <w:t xml:space="preserve">and </w:t>
      </w:r>
      <w:r w:rsidR="00ED49C0" w:rsidRPr="0018406E">
        <w:rPr>
          <w:sz w:val="24"/>
          <w:szCs w:val="24"/>
        </w:rPr>
        <w:t>subdivision (</w:t>
      </w:r>
      <w:r w:rsidR="006E0A5E" w:rsidRPr="0018406E">
        <w:rPr>
          <w:sz w:val="24"/>
          <w:szCs w:val="24"/>
        </w:rPr>
        <w:t>7</w:t>
      </w:r>
      <w:r w:rsidR="00ED49C0" w:rsidRPr="0018406E">
        <w:rPr>
          <w:sz w:val="24"/>
          <w:szCs w:val="24"/>
        </w:rPr>
        <w:t>)</w:t>
      </w:r>
      <w:r w:rsidR="003569DD" w:rsidRPr="0018406E">
        <w:rPr>
          <w:sz w:val="24"/>
          <w:szCs w:val="24"/>
        </w:rPr>
        <w:t xml:space="preserve"> </w:t>
      </w:r>
      <w:r w:rsidR="005D3936" w:rsidRPr="0018406E">
        <w:rPr>
          <w:sz w:val="24"/>
          <w:szCs w:val="24"/>
        </w:rPr>
        <w:t xml:space="preserve">was </w:t>
      </w:r>
      <w:r w:rsidR="003569DD" w:rsidRPr="0018406E">
        <w:rPr>
          <w:sz w:val="24"/>
          <w:szCs w:val="24"/>
        </w:rPr>
        <w:t>added to include</w:t>
      </w:r>
      <w:r w:rsidR="00ED49C0" w:rsidRPr="0018406E">
        <w:rPr>
          <w:sz w:val="24"/>
          <w:szCs w:val="24"/>
        </w:rPr>
        <w:t xml:space="preserve"> a cross-reference to the </w:t>
      </w:r>
      <w:r w:rsidR="003569DD" w:rsidRPr="0018406E">
        <w:rPr>
          <w:sz w:val="24"/>
          <w:szCs w:val="24"/>
        </w:rPr>
        <w:t>Guide to N</w:t>
      </w:r>
      <w:r w:rsidR="00B830E5" w:rsidRPr="0018406E">
        <w:rPr>
          <w:sz w:val="24"/>
          <w:szCs w:val="24"/>
        </w:rPr>
        <w:t xml:space="preserve">ew </w:t>
      </w:r>
      <w:r w:rsidR="003569DD" w:rsidRPr="0018406E">
        <w:rPr>
          <w:sz w:val="24"/>
          <w:szCs w:val="24"/>
        </w:rPr>
        <w:t>Y</w:t>
      </w:r>
      <w:r w:rsidR="00B830E5" w:rsidRPr="0018406E">
        <w:rPr>
          <w:sz w:val="24"/>
          <w:szCs w:val="24"/>
        </w:rPr>
        <w:t>ork</w:t>
      </w:r>
      <w:r w:rsidR="003569DD" w:rsidRPr="0018406E">
        <w:rPr>
          <w:sz w:val="24"/>
          <w:szCs w:val="24"/>
        </w:rPr>
        <w:t xml:space="preserve"> Evidence </w:t>
      </w:r>
      <w:r w:rsidR="00ED49C0" w:rsidRPr="0018406E">
        <w:rPr>
          <w:sz w:val="24"/>
          <w:szCs w:val="24"/>
        </w:rPr>
        <w:t>DNA rule</w:t>
      </w:r>
      <w:r w:rsidR="009A6E89" w:rsidRPr="0018406E">
        <w:rPr>
          <w:sz w:val="24"/>
          <w:szCs w:val="24"/>
        </w:rPr>
        <w:t>.</w:t>
      </w:r>
      <w:r w:rsidR="00B830E5" w:rsidRPr="0018406E">
        <w:rPr>
          <w:sz w:val="24"/>
          <w:szCs w:val="24"/>
        </w:rPr>
        <w:t xml:space="preserve"> </w:t>
      </w:r>
      <w:r w:rsidR="009A6E89" w:rsidRPr="0018406E">
        <w:rPr>
          <w:sz w:val="24"/>
          <w:szCs w:val="24"/>
        </w:rPr>
        <w:t>The Note to subdivision (6)</w:t>
      </w:r>
      <w:r w:rsidR="00EA19C6" w:rsidRPr="0018406E">
        <w:rPr>
          <w:sz w:val="24"/>
          <w:szCs w:val="24"/>
        </w:rPr>
        <w:t xml:space="preserve"> </w:t>
      </w:r>
      <w:r w:rsidR="009200ED" w:rsidRPr="0018406E">
        <w:rPr>
          <w:sz w:val="24"/>
          <w:szCs w:val="24"/>
        </w:rPr>
        <w:t xml:space="preserve">(d) </w:t>
      </w:r>
      <w:r w:rsidR="00EA19C6" w:rsidRPr="0018406E">
        <w:rPr>
          <w:sz w:val="24"/>
          <w:szCs w:val="24"/>
        </w:rPr>
        <w:t xml:space="preserve">was </w:t>
      </w:r>
      <w:r w:rsidR="008B0873" w:rsidRPr="0018406E">
        <w:rPr>
          <w:sz w:val="24"/>
          <w:szCs w:val="24"/>
        </w:rPr>
        <w:t xml:space="preserve">also </w:t>
      </w:r>
      <w:r w:rsidR="00EA19C6" w:rsidRPr="0018406E">
        <w:rPr>
          <w:sz w:val="24"/>
          <w:szCs w:val="24"/>
        </w:rPr>
        <w:t>updated primarily to account for the holding</w:t>
      </w:r>
      <w:r w:rsidR="009200ED" w:rsidRPr="0018406E">
        <w:rPr>
          <w:sz w:val="24"/>
          <w:szCs w:val="24"/>
        </w:rPr>
        <w:t xml:space="preserve"> </w:t>
      </w:r>
      <w:r w:rsidR="00EA19C6" w:rsidRPr="0018406E">
        <w:rPr>
          <w:sz w:val="24"/>
          <w:szCs w:val="24"/>
        </w:rPr>
        <w:t xml:space="preserve">and import of </w:t>
      </w:r>
      <w:r w:rsidR="00EA19C6" w:rsidRPr="0018406E">
        <w:rPr>
          <w:rFonts w:eastAsia="Times New Roman"/>
          <w:i/>
          <w:iCs/>
          <w:sz w:val="24"/>
          <w:szCs w:val="24"/>
          <w:bdr w:val="none" w:sz="0" w:space="0" w:color="auto" w:frame="1"/>
        </w:rPr>
        <w:t>People v Jordan</w:t>
      </w:r>
      <w:r w:rsidR="00EA19C6" w:rsidRPr="0018406E">
        <w:rPr>
          <w:rFonts w:eastAsia="Times New Roman"/>
          <w:sz w:val="24"/>
          <w:szCs w:val="24"/>
        </w:rPr>
        <w:t xml:space="preserve"> </w:t>
      </w:r>
      <w:r w:rsidR="00B830E5" w:rsidRPr="0018406E">
        <w:rPr>
          <w:rFonts w:eastAsia="Times New Roman"/>
          <w:sz w:val="24"/>
          <w:szCs w:val="24"/>
        </w:rPr>
        <w:t>(</w:t>
      </w:r>
      <w:r w:rsidR="00EA19C6" w:rsidRPr="0018406E">
        <w:rPr>
          <w:rFonts w:eastAsia="Times New Roman"/>
          <w:sz w:val="24"/>
          <w:szCs w:val="24"/>
        </w:rPr>
        <w:t>40 NY3d 396, 401 [2023]</w:t>
      </w:r>
      <w:r w:rsidR="00B830E5" w:rsidRPr="0018406E">
        <w:rPr>
          <w:rFonts w:eastAsia="Times New Roman"/>
          <w:sz w:val="24"/>
          <w:szCs w:val="24"/>
        </w:rPr>
        <w:t>)</w:t>
      </w:r>
      <w:r w:rsidR="009200ED" w:rsidRPr="0018406E">
        <w:rPr>
          <w:rFonts w:eastAsia="Times New Roman"/>
          <w:sz w:val="24"/>
          <w:szCs w:val="24"/>
        </w:rPr>
        <w:t>.</w:t>
      </w:r>
    </w:p>
    <w:p w14:paraId="3061D524" w14:textId="0451E439" w:rsidR="00EA19C6" w:rsidRPr="0054384C" w:rsidRDefault="00EA19C6" w:rsidP="007E3E1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7FADF" w14:textId="77777777" w:rsidR="0002746C" w:rsidRDefault="0002746C">
    <w:pPr>
      <w:pStyle w:val="Footer"/>
      <w:jc w:val="center"/>
    </w:pPr>
    <w:r>
      <w:fldChar w:fldCharType="begin"/>
    </w:r>
    <w:r>
      <w:instrText xml:space="preserve"> PAGE   \* MERGEFORMAT </w:instrText>
    </w:r>
    <w:r>
      <w:fldChar w:fldCharType="separate"/>
    </w:r>
    <w:r w:rsidR="00D5304B">
      <w:rPr>
        <w:noProof/>
      </w:rPr>
      <w:t>7</w:t>
    </w:r>
    <w:r>
      <w:fldChar w:fldCharType="end"/>
    </w:r>
  </w:p>
  <w:p w14:paraId="60701859" w14:textId="77777777" w:rsidR="0002746C" w:rsidRDefault="00027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928A27" w14:textId="77777777" w:rsidR="00B936B3" w:rsidRDefault="00B936B3">
      <w:r>
        <w:separator/>
      </w:r>
    </w:p>
  </w:footnote>
  <w:footnote w:type="continuationSeparator" w:id="0">
    <w:p w14:paraId="36095B5C" w14:textId="77777777" w:rsidR="00B936B3" w:rsidRDefault="00B93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F6D9E"/>
    <w:multiLevelType w:val="multilevel"/>
    <w:tmpl w:val="97E48CB6"/>
    <w:lvl w:ilvl="0">
      <w:start w:val="1"/>
      <w:numFmt w:val="lowerRoman"/>
      <w:lvlText w:val="(%1)"/>
      <w:legacy w:legacy="1" w:legacySpace="0" w:legacyIndent="0"/>
      <w:lvlJc w:val="left"/>
      <w:rPr>
        <w:rFonts w:cs="Times New Roman"/>
        <w:strike/>
        <w:color w:val="FF000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16CD5B89"/>
    <w:multiLevelType w:val="hybridMultilevel"/>
    <w:tmpl w:val="B426AADA"/>
    <w:lvl w:ilvl="0" w:tplc="AF2A761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45957"/>
    <w:multiLevelType w:val="multilevel"/>
    <w:tmpl w:val="4EE2A10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3E8942BD"/>
    <w:multiLevelType w:val="hybridMultilevel"/>
    <w:tmpl w:val="F32A2D72"/>
    <w:lvl w:ilvl="0" w:tplc="D604DA2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F42CEA"/>
    <w:multiLevelType w:val="multilevel"/>
    <w:tmpl w:val="5AFC05E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15:restartNumberingAfterBreak="0">
    <w:nsid w:val="5AB34904"/>
    <w:multiLevelType w:val="multilevel"/>
    <w:tmpl w:val="B70006D0"/>
    <w:lvl w:ilvl="0">
      <w:start w:val="1"/>
      <w:numFmt w:val="lowerRoman"/>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6" w15:restartNumberingAfterBreak="0">
    <w:nsid w:val="637548F0"/>
    <w:multiLevelType w:val="multilevel"/>
    <w:tmpl w:val="5AFC05E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7" w15:restartNumberingAfterBreak="0">
    <w:nsid w:val="72DE1080"/>
    <w:multiLevelType w:val="multilevel"/>
    <w:tmpl w:val="5AFC05E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146093857">
    <w:abstractNumId w:val="2"/>
  </w:num>
  <w:num w:numId="2" w16cid:durableId="1063063232">
    <w:abstractNumId w:val="7"/>
  </w:num>
  <w:num w:numId="3" w16cid:durableId="556664629">
    <w:abstractNumId w:val="5"/>
  </w:num>
  <w:num w:numId="4" w16cid:durableId="893006286">
    <w:abstractNumId w:val="4"/>
  </w:num>
  <w:num w:numId="5" w16cid:durableId="2042589534">
    <w:abstractNumId w:val="6"/>
  </w:num>
  <w:num w:numId="6" w16cid:durableId="1886022091">
    <w:abstractNumId w:val="0"/>
  </w:num>
  <w:num w:numId="7" w16cid:durableId="1606843132">
    <w:abstractNumId w:val="3"/>
  </w:num>
  <w:num w:numId="8" w16cid:durableId="714350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U0sjSztDA0MLGwNLNQ0lEKTi0uzszPAykwrAUA1WfrWywAAAA="/>
  </w:docVars>
  <w:rsids>
    <w:rsidRoot w:val="00AD38D5"/>
    <w:rsid w:val="00000087"/>
    <w:rsid w:val="00002ED6"/>
    <w:rsid w:val="00006C74"/>
    <w:rsid w:val="00007605"/>
    <w:rsid w:val="0001197D"/>
    <w:rsid w:val="00011F91"/>
    <w:rsid w:val="000121BA"/>
    <w:rsid w:val="00020455"/>
    <w:rsid w:val="00022CC2"/>
    <w:rsid w:val="00025CC5"/>
    <w:rsid w:val="0002746C"/>
    <w:rsid w:val="0005189C"/>
    <w:rsid w:val="00065AA2"/>
    <w:rsid w:val="0007237D"/>
    <w:rsid w:val="00086EDD"/>
    <w:rsid w:val="0009140F"/>
    <w:rsid w:val="00093FF3"/>
    <w:rsid w:val="000A3427"/>
    <w:rsid w:val="000B1EF9"/>
    <w:rsid w:val="000C5147"/>
    <w:rsid w:val="000D0D36"/>
    <w:rsid w:val="000D2A28"/>
    <w:rsid w:val="000E51EB"/>
    <w:rsid w:val="000E68E1"/>
    <w:rsid w:val="000F0189"/>
    <w:rsid w:val="00101E7D"/>
    <w:rsid w:val="001124FF"/>
    <w:rsid w:val="00132338"/>
    <w:rsid w:val="00132E03"/>
    <w:rsid w:val="00135A87"/>
    <w:rsid w:val="00137140"/>
    <w:rsid w:val="00143413"/>
    <w:rsid w:val="00150961"/>
    <w:rsid w:val="00150CEF"/>
    <w:rsid w:val="001568EC"/>
    <w:rsid w:val="0018406E"/>
    <w:rsid w:val="001A2425"/>
    <w:rsid w:val="001A4483"/>
    <w:rsid w:val="001D1EE2"/>
    <w:rsid w:val="002010AA"/>
    <w:rsid w:val="002063BC"/>
    <w:rsid w:val="00230EA4"/>
    <w:rsid w:val="00231396"/>
    <w:rsid w:val="0023331F"/>
    <w:rsid w:val="00235A37"/>
    <w:rsid w:val="00247611"/>
    <w:rsid w:val="002746BC"/>
    <w:rsid w:val="00274CAF"/>
    <w:rsid w:val="002802D8"/>
    <w:rsid w:val="00280B03"/>
    <w:rsid w:val="00294E8E"/>
    <w:rsid w:val="00295498"/>
    <w:rsid w:val="002955E1"/>
    <w:rsid w:val="00295733"/>
    <w:rsid w:val="002960A4"/>
    <w:rsid w:val="002A477A"/>
    <w:rsid w:val="002A50F7"/>
    <w:rsid w:val="002A6800"/>
    <w:rsid w:val="002A7AA0"/>
    <w:rsid w:val="002B4A5E"/>
    <w:rsid w:val="002B7B3C"/>
    <w:rsid w:val="002C66CA"/>
    <w:rsid w:val="002D7815"/>
    <w:rsid w:val="002E4E54"/>
    <w:rsid w:val="002E6A72"/>
    <w:rsid w:val="002E7B44"/>
    <w:rsid w:val="002F3868"/>
    <w:rsid w:val="003311FD"/>
    <w:rsid w:val="003316DB"/>
    <w:rsid w:val="00331862"/>
    <w:rsid w:val="0033593C"/>
    <w:rsid w:val="00341207"/>
    <w:rsid w:val="003452C7"/>
    <w:rsid w:val="0034658B"/>
    <w:rsid w:val="00347307"/>
    <w:rsid w:val="00356864"/>
    <w:rsid w:val="003569DD"/>
    <w:rsid w:val="003600DC"/>
    <w:rsid w:val="00380CEE"/>
    <w:rsid w:val="00384287"/>
    <w:rsid w:val="00394CEB"/>
    <w:rsid w:val="003A136D"/>
    <w:rsid w:val="003A13F2"/>
    <w:rsid w:val="003C0904"/>
    <w:rsid w:val="003C1615"/>
    <w:rsid w:val="003C47E1"/>
    <w:rsid w:val="003C4AB7"/>
    <w:rsid w:val="003D3A06"/>
    <w:rsid w:val="003D5769"/>
    <w:rsid w:val="003E754E"/>
    <w:rsid w:val="003F2BB6"/>
    <w:rsid w:val="003F7F8E"/>
    <w:rsid w:val="00401E9D"/>
    <w:rsid w:val="00405E87"/>
    <w:rsid w:val="00406987"/>
    <w:rsid w:val="00406D80"/>
    <w:rsid w:val="00407304"/>
    <w:rsid w:val="004166D0"/>
    <w:rsid w:val="0042184F"/>
    <w:rsid w:val="00455125"/>
    <w:rsid w:val="0046400E"/>
    <w:rsid w:val="004764D1"/>
    <w:rsid w:val="00482BE2"/>
    <w:rsid w:val="0048534C"/>
    <w:rsid w:val="00487019"/>
    <w:rsid w:val="004A6DEF"/>
    <w:rsid w:val="004B0EA8"/>
    <w:rsid w:val="004B213F"/>
    <w:rsid w:val="004B2E31"/>
    <w:rsid w:val="004B5D4E"/>
    <w:rsid w:val="004B62E0"/>
    <w:rsid w:val="004C6C55"/>
    <w:rsid w:val="004E22E7"/>
    <w:rsid w:val="004E4683"/>
    <w:rsid w:val="004F2471"/>
    <w:rsid w:val="004F4100"/>
    <w:rsid w:val="004F6F70"/>
    <w:rsid w:val="00501283"/>
    <w:rsid w:val="00514F1A"/>
    <w:rsid w:val="0052279A"/>
    <w:rsid w:val="0052646C"/>
    <w:rsid w:val="00526BC1"/>
    <w:rsid w:val="005276A3"/>
    <w:rsid w:val="00533BC1"/>
    <w:rsid w:val="00540956"/>
    <w:rsid w:val="00542C6B"/>
    <w:rsid w:val="00542CE3"/>
    <w:rsid w:val="0054384C"/>
    <w:rsid w:val="005633D5"/>
    <w:rsid w:val="005659E5"/>
    <w:rsid w:val="005671D6"/>
    <w:rsid w:val="00570BBA"/>
    <w:rsid w:val="00572A7A"/>
    <w:rsid w:val="005746D2"/>
    <w:rsid w:val="0058022F"/>
    <w:rsid w:val="005826E8"/>
    <w:rsid w:val="005A2576"/>
    <w:rsid w:val="005A31FB"/>
    <w:rsid w:val="005A3FDE"/>
    <w:rsid w:val="005A5837"/>
    <w:rsid w:val="005A66E8"/>
    <w:rsid w:val="005B3D87"/>
    <w:rsid w:val="005B408E"/>
    <w:rsid w:val="005B4AA7"/>
    <w:rsid w:val="005C3F1F"/>
    <w:rsid w:val="005C4A58"/>
    <w:rsid w:val="005D3700"/>
    <w:rsid w:val="005D3936"/>
    <w:rsid w:val="005E42C0"/>
    <w:rsid w:val="005E4B3F"/>
    <w:rsid w:val="005F00D9"/>
    <w:rsid w:val="005F239B"/>
    <w:rsid w:val="006041AD"/>
    <w:rsid w:val="00613286"/>
    <w:rsid w:val="0062255D"/>
    <w:rsid w:val="0062491C"/>
    <w:rsid w:val="00626AB0"/>
    <w:rsid w:val="006271C8"/>
    <w:rsid w:val="00630A02"/>
    <w:rsid w:val="00631A6B"/>
    <w:rsid w:val="006321A7"/>
    <w:rsid w:val="0063778C"/>
    <w:rsid w:val="00645F91"/>
    <w:rsid w:val="00657A7A"/>
    <w:rsid w:val="0066419A"/>
    <w:rsid w:val="00671179"/>
    <w:rsid w:val="00676B24"/>
    <w:rsid w:val="00687446"/>
    <w:rsid w:val="0069343A"/>
    <w:rsid w:val="006A135B"/>
    <w:rsid w:val="006B0F57"/>
    <w:rsid w:val="006B1D79"/>
    <w:rsid w:val="006B34CB"/>
    <w:rsid w:val="006B672C"/>
    <w:rsid w:val="006C0D17"/>
    <w:rsid w:val="006C16DD"/>
    <w:rsid w:val="006C2384"/>
    <w:rsid w:val="006C2D07"/>
    <w:rsid w:val="006E0A5E"/>
    <w:rsid w:val="006E2571"/>
    <w:rsid w:val="006E638C"/>
    <w:rsid w:val="006E71CE"/>
    <w:rsid w:val="006F7171"/>
    <w:rsid w:val="007012C3"/>
    <w:rsid w:val="00710685"/>
    <w:rsid w:val="00710BF0"/>
    <w:rsid w:val="00712A6A"/>
    <w:rsid w:val="00712BE9"/>
    <w:rsid w:val="0071360F"/>
    <w:rsid w:val="007144D2"/>
    <w:rsid w:val="00731FF8"/>
    <w:rsid w:val="007330F0"/>
    <w:rsid w:val="00737000"/>
    <w:rsid w:val="007424E3"/>
    <w:rsid w:val="00744811"/>
    <w:rsid w:val="00757708"/>
    <w:rsid w:val="00760360"/>
    <w:rsid w:val="00760587"/>
    <w:rsid w:val="00761591"/>
    <w:rsid w:val="007624EA"/>
    <w:rsid w:val="007628F9"/>
    <w:rsid w:val="00763FD8"/>
    <w:rsid w:val="0077429B"/>
    <w:rsid w:val="0077644C"/>
    <w:rsid w:val="0078285E"/>
    <w:rsid w:val="00783B26"/>
    <w:rsid w:val="007858C9"/>
    <w:rsid w:val="00785E1F"/>
    <w:rsid w:val="00791624"/>
    <w:rsid w:val="007A2816"/>
    <w:rsid w:val="007A64FF"/>
    <w:rsid w:val="007B10FF"/>
    <w:rsid w:val="007B1D6C"/>
    <w:rsid w:val="007B2F7C"/>
    <w:rsid w:val="007B3052"/>
    <w:rsid w:val="007B736C"/>
    <w:rsid w:val="007B7F1D"/>
    <w:rsid w:val="007D03D6"/>
    <w:rsid w:val="007E3C82"/>
    <w:rsid w:val="007E3E1A"/>
    <w:rsid w:val="007F59E5"/>
    <w:rsid w:val="00805561"/>
    <w:rsid w:val="0080569F"/>
    <w:rsid w:val="008204C5"/>
    <w:rsid w:val="00830A2F"/>
    <w:rsid w:val="00830FB1"/>
    <w:rsid w:val="00832C6E"/>
    <w:rsid w:val="00837271"/>
    <w:rsid w:val="00846387"/>
    <w:rsid w:val="008509A8"/>
    <w:rsid w:val="008515D9"/>
    <w:rsid w:val="008561D9"/>
    <w:rsid w:val="008569EF"/>
    <w:rsid w:val="008715B0"/>
    <w:rsid w:val="00876366"/>
    <w:rsid w:val="00897C58"/>
    <w:rsid w:val="008A7127"/>
    <w:rsid w:val="008B0873"/>
    <w:rsid w:val="008B2462"/>
    <w:rsid w:val="008B57D9"/>
    <w:rsid w:val="008C3A77"/>
    <w:rsid w:val="008C635B"/>
    <w:rsid w:val="008F403D"/>
    <w:rsid w:val="008F45B4"/>
    <w:rsid w:val="008F4E13"/>
    <w:rsid w:val="008F732B"/>
    <w:rsid w:val="009024F5"/>
    <w:rsid w:val="00904D04"/>
    <w:rsid w:val="009109E6"/>
    <w:rsid w:val="00917E41"/>
    <w:rsid w:val="009200ED"/>
    <w:rsid w:val="00920DB5"/>
    <w:rsid w:val="00921D39"/>
    <w:rsid w:val="00927687"/>
    <w:rsid w:val="00935F1B"/>
    <w:rsid w:val="00940601"/>
    <w:rsid w:val="00941D6B"/>
    <w:rsid w:val="00943685"/>
    <w:rsid w:val="00944747"/>
    <w:rsid w:val="00950683"/>
    <w:rsid w:val="00951A23"/>
    <w:rsid w:val="009720EF"/>
    <w:rsid w:val="009726D6"/>
    <w:rsid w:val="00973355"/>
    <w:rsid w:val="009755D7"/>
    <w:rsid w:val="00981D0D"/>
    <w:rsid w:val="00991CF3"/>
    <w:rsid w:val="00996AE4"/>
    <w:rsid w:val="009A0C72"/>
    <w:rsid w:val="009A6E89"/>
    <w:rsid w:val="009B58C8"/>
    <w:rsid w:val="009B672A"/>
    <w:rsid w:val="009C0C81"/>
    <w:rsid w:val="009C35C9"/>
    <w:rsid w:val="009C3655"/>
    <w:rsid w:val="009C6053"/>
    <w:rsid w:val="009D0E52"/>
    <w:rsid w:val="009D6B79"/>
    <w:rsid w:val="009E500C"/>
    <w:rsid w:val="009E697D"/>
    <w:rsid w:val="009F428F"/>
    <w:rsid w:val="009F4D83"/>
    <w:rsid w:val="009F4FA9"/>
    <w:rsid w:val="009F742A"/>
    <w:rsid w:val="00A0310A"/>
    <w:rsid w:val="00A10AE7"/>
    <w:rsid w:val="00A20177"/>
    <w:rsid w:val="00A24A77"/>
    <w:rsid w:val="00A64165"/>
    <w:rsid w:val="00A70E75"/>
    <w:rsid w:val="00A71804"/>
    <w:rsid w:val="00A775FE"/>
    <w:rsid w:val="00A91DBA"/>
    <w:rsid w:val="00A96A3D"/>
    <w:rsid w:val="00AA1283"/>
    <w:rsid w:val="00AA4F1F"/>
    <w:rsid w:val="00AA5925"/>
    <w:rsid w:val="00AA5C55"/>
    <w:rsid w:val="00AA666D"/>
    <w:rsid w:val="00AB13A8"/>
    <w:rsid w:val="00AB4BBF"/>
    <w:rsid w:val="00AB5293"/>
    <w:rsid w:val="00AC021A"/>
    <w:rsid w:val="00AD38D5"/>
    <w:rsid w:val="00AE2524"/>
    <w:rsid w:val="00AF0A59"/>
    <w:rsid w:val="00AF203B"/>
    <w:rsid w:val="00B16283"/>
    <w:rsid w:val="00B176FE"/>
    <w:rsid w:val="00B2278F"/>
    <w:rsid w:val="00B300D3"/>
    <w:rsid w:val="00B35E7C"/>
    <w:rsid w:val="00B404B4"/>
    <w:rsid w:val="00B60D7D"/>
    <w:rsid w:val="00B6344B"/>
    <w:rsid w:val="00B63755"/>
    <w:rsid w:val="00B67E1F"/>
    <w:rsid w:val="00B80851"/>
    <w:rsid w:val="00B830E5"/>
    <w:rsid w:val="00B936B3"/>
    <w:rsid w:val="00B9620F"/>
    <w:rsid w:val="00BA1D01"/>
    <w:rsid w:val="00BA4AE1"/>
    <w:rsid w:val="00BA5FEE"/>
    <w:rsid w:val="00BB2AB1"/>
    <w:rsid w:val="00BB745C"/>
    <w:rsid w:val="00BD15B5"/>
    <w:rsid w:val="00BD2BC2"/>
    <w:rsid w:val="00BD2BFD"/>
    <w:rsid w:val="00BD410C"/>
    <w:rsid w:val="00BD58BE"/>
    <w:rsid w:val="00BE6689"/>
    <w:rsid w:val="00BF3243"/>
    <w:rsid w:val="00BF55B3"/>
    <w:rsid w:val="00C031FE"/>
    <w:rsid w:val="00C4367D"/>
    <w:rsid w:val="00C525B0"/>
    <w:rsid w:val="00C53668"/>
    <w:rsid w:val="00C6526A"/>
    <w:rsid w:val="00C66876"/>
    <w:rsid w:val="00C803AD"/>
    <w:rsid w:val="00C95EA2"/>
    <w:rsid w:val="00C960E8"/>
    <w:rsid w:val="00CA5CEB"/>
    <w:rsid w:val="00CA7BDF"/>
    <w:rsid w:val="00CB1259"/>
    <w:rsid w:val="00CC0D91"/>
    <w:rsid w:val="00CD0F5C"/>
    <w:rsid w:val="00CD41E1"/>
    <w:rsid w:val="00CE4397"/>
    <w:rsid w:val="00CF7EE1"/>
    <w:rsid w:val="00D17794"/>
    <w:rsid w:val="00D17ACA"/>
    <w:rsid w:val="00D34FC9"/>
    <w:rsid w:val="00D51A16"/>
    <w:rsid w:val="00D5304B"/>
    <w:rsid w:val="00D53AF1"/>
    <w:rsid w:val="00D62E28"/>
    <w:rsid w:val="00D65961"/>
    <w:rsid w:val="00D66BAF"/>
    <w:rsid w:val="00D7792B"/>
    <w:rsid w:val="00D8019A"/>
    <w:rsid w:val="00D8411D"/>
    <w:rsid w:val="00D97E3B"/>
    <w:rsid w:val="00DB3AB4"/>
    <w:rsid w:val="00DB5287"/>
    <w:rsid w:val="00DC087B"/>
    <w:rsid w:val="00DC1609"/>
    <w:rsid w:val="00DD18E0"/>
    <w:rsid w:val="00DE44AF"/>
    <w:rsid w:val="00DE528C"/>
    <w:rsid w:val="00DF00D6"/>
    <w:rsid w:val="00DF4323"/>
    <w:rsid w:val="00DF4E84"/>
    <w:rsid w:val="00E0701A"/>
    <w:rsid w:val="00E12AAC"/>
    <w:rsid w:val="00E31214"/>
    <w:rsid w:val="00E444FF"/>
    <w:rsid w:val="00E57CBD"/>
    <w:rsid w:val="00E61D06"/>
    <w:rsid w:val="00E64FEC"/>
    <w:rsid w:val="00E773AB"/>
    <w:rsid w:val="00E87E7D"/>
    <w:rsid w:val="00E9217A"/>
    <w:rsid w:val="00E93160"/>
    <w:rsid w:val="00E93CAC"/>
    <w:rsid w:val="00EA08D6"/>
    <w:rsid w:val="00EA0B88"/>
    <w:rsid w:val="00EA19C6"/>
    <w:rsid w:val="00EB6A9D"/>
    <w:rsid w:val="00EC05C2"/>
    <w:rsid w:val="00EC5355"/>
    <w:rsid w:val="00EC5A00"/>
    <w:rsid w:val="00EC6325"/>
    <w:rsid w:val="00ED49C0"/>
    <w:rsid w:val="00ED65B7"/>
    <w:rsid w:val="00EE679A"/>
    <w:rsid w:val="00EF5FBF"/>
    <w:rsid w:val="00F05275"/>
    <w:rsid w:val="00F10F79"/>
    <w:rsid w:val="00F21B9D"/>
    <w:rsid w:val="00F25178"/>
    <w:rsid w:val="00F32627"/>
    <w:rsid w:val="00F35B32"/>
    <w:rsid w:val="00F43B15"/>
    <w:rsid w:val="00F5210C"/>
    <w:rsid w:val="00F65322"/>
    <w:rsid w:val="00F704BD"/>
    <w:rsid w:val="00F7484F"/>
    <w:rsid w:val="00F760EC"/>
    <w:rsid w:val="00F84E39"/>
    <w:rsid w:val="00F90A4C"/>
    <w:rsid w:val="00FA0F82"/>
    <w:rsid w:val="00FA14E7"/>
    <w:rsid w:val="00FA54AD"/>
    <w:rsid w:val="00FA5938"/>
    <w:rsid w:val="00FB10EC"/>
    <w:rsid w:val="00FB3C48"/>
    <w:rsid w:val="00FC5AEA"/>
    <w:rsid w:val="00FD346F"/>
    <w:rsid w:val="00FE4DEE"/>
    <w:rsid w:val="00FF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9800E"/>
  <w14:defaultImageDpi w14:val="0"/>
  <w15:docId w15:val="{32EABD67-C21A-4AD1-BDDA-0F9E26D6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3">
    <w:name w:val="heading 3"/>
    <w:basedOn w:val="Normal"/>
    <w:next w:val="Normal"/>
    <w:link w:val="Heading3Char"/>
    <w:uiPriority w:val="9"/>
    <w:semiHidden/>
    <w:unhideWhenUsed/>
    <w:qFormat/>
    <w:rsid w:val="0042184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5-1">
    <w:name w:val="L15-1"/>
    <w:uiPriority w:val="99"/>
    <w:pPr>
      <w:widowControl w:val="0"/>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15-2">
    <w:name w:val="L15-2"/>
    <w:uiPriority w:val="99"/>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15-3">
    <w:name w:val="L15-3"/>
    <w:uiPriority w:val="99"/>
    <w:pPr>
      <w:widowControl w:val="0"/>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L15-4">
    <w:name w:val="L15-4"/>
    <w:uiPriority w:val="99"/>
    <w:pPr>
      <w:widowControl w:val="0"/>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15-5">
    <w:name w:val="L15-5"/>
    <w:uiPriority w:val="99"/>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15-6">
    <w:name w:val="L15-6"/>
    <w:uiPriority w:val="99"/>
    <w:pPr>
      <w:widowControl w:val="0"/>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L15-7">
    <w:name w:val="L15-7"/>
    <w:uiPriority w:val="99"/>
    <w:pPr>
      <w:widowControl w:val="0"/>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L15-8">
    <w:name w:val="L15-8"/>
    <w:uiPriority w:val="99"/>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7-1">
    <w:name w:val="L7-1"/>
    <w:uiPriority w:val="99"/>
    <w:pPr>
      <w:widowControl w:val="0"/>
      <w:autoSpaceDE w:val="0"/>
      <w:autoSpaceDN w:val="0"/>
      <w:adjustRightInd w:val="0"/>
      <w:spacing w:after="0" w:line="240" w:lineRule="auto"/>
      <w:ind w:left="2319" w:hanging="360"/>
      <w:jc w:val="both"/>
    </w:pPr>
    <w:rPr>
      <w:rFonts w:ascii="Times New Roman" w:hAnsi="Times New Roman"/>
      <w:sz w:val="24"/>
      <w:szCs w:val="24"/>
    </w:rPr>
  </w:style>
  <w:style w:type="paragraph" w:customStyle="1" w:styleId="L7-2">
    <w:name w:val="L7-2"/>
    <w:uiPriority w:val="99"/>
    <w:pPr>
      <w:widowControl w:val="0"/>
      <w:autoSpaceDE w:val="0"/>
      <w:autoSpaceDN w:val="0"/>
      <w:adjustRightInd w:val="0"/>
      <w:spacing w:after="0" w:line="240" w:lineRule="auto"/>
      <w:ind w:left="3039" w:hanging="360"/>
      <w:jc w:val="both"/>
    </w:pPr>
    <w:rPr>
      <w:rFonts w:ascii="Times New Roman" w:hAnsi="Times New Roman"/>
      <w:sz w:val="24"/>
      <w:szCs w:val="24"/>
    </w:rPr>
  </w:style>
  <w:style w:type="paragraph" w:customStyle="1" w:styleId="L7-3">
    <w:name w:val="L7-3"/>
    <w:uiPriority w:val="99"/>
    <w:pPr>
      <w:widowControl w:val="0"/>
      <w:autoSpaceDE w:val="0"/>
      <w:autoSpaceDN w:val="0"/>
      <w:adjustRightInd w:val="0"/>
      <w:spacing w:after="0" w:line="240" w:lineRule="auto"/>
      <w:ind w:left="3759" w:hanging="180"/>
      <w:jc w:val="both"/>
    </w:pPr>
    <w:rPr>
      <w:rFonts w:ascii="Times New Roman" w:hAnsi="Times New Roman"/>
      <w:sz w:val="24"/>
      <w:szCs w:val="24"/>
    </w:rPr>
  </w:style>
  <w:style w:type="paragraph" w:customStyle="1" w:styleId="L7-4">
    <w:name w:val="L7-4"/>
    <w:uiPriority w:val="99"/>
    <w:pPr>
      <w:widowControl w:val="0"/>
      <w:autoSpaceDE w:val="0"/>
      <w:autoSpaceDN w:val="0"/>
      <w:adjustRightInd w:val="0"/>
      <w:spacing w:after="0" w:line="240" w:lineRule="auto"/>
      <w:ind w:left="4479" w:hanging="360"/>
      <w:jc w:val="both"/>
    </w:pPr>
    <w:rPr>
      <w:rFonts w:ascii="Times New Roman" w:hAnsi="Times New Roman"/>
      <w:sz w:val="24"/>
      <w:szCs w:val="24"/>
    </w:rPr>
  </w:style>
  <w:style w:type="paragraph" w:customStyle="1" w:styleId="L7-5">
    <w:name w:val="L7-5"/>
    <w:uiPriority w:val="99"/>
    <w:pPr>
      <w:widowControl w:val="0"/>
      <w:autoSpaceDE w:val="0"/>
      <w:autoSpaceDN w:val="0"/>
      <w:adjustRightInd w:val="0"/>
      <w:spacing w:after="0" w:line="240" w:lineRule="auto"/>
      <w:ind w:left="5199" w:hanging="360"/>
      <w:jc w:val="both"/>
    </w:pPr>
    <w:rPr>
      <w:rFonts w:ascii="Times New Roman" w:hAnsi="Times New Roman"/>
      <w:sz w:val="24"/>
      <w:szCs w:val="24"/>
    </w:rPr>
  </w:style>
  <w:style w:type="paragraph" w:customStyle="1" w:styleId="L7-6">
    <w:name w:val="L7-6"/>
    <w:uiPriority w:val="99"/>
    <w:pPr>
      <w:widowControl w:val="0"/>
      <w:autoSpaceDE w:val="0"/>
      <w:autoSpaceDN w:val="0"/>
      <w:adjustRightInd w:val="0"/>
      <w:spacing w:after="0" w:line="240" w:lineRule="auto"/>
      <w:ind w:left="5919" w:hanging="180"/>
      <w:jc w:val="both"/>
    </w:pPr>
    <w:rPr>
      <w:rFonts w:ascii="Times New Roman" w:hAnsi="Times New Roman"/>
      <w:sz w:val="24"/>
      <w:szCs w:val="24"/>
    </w:rPr>
  </w:style>
  <w:style w:type="paragraph" w:customStyle="1" w:styleId="L7-7">
    <w:name w:val="L7-7"/>
    <w:uiPriority w:val="99"/>
    <w:pPr>
      <w:widowControl w:val="0"/>
      <w:autoSpaceDE w:val="0"/>
      <w:autoSpaceDN w:val="0"/>
      <w:adjustRightInd w:val="0"/>
      <w:spacing w:after="0" w:line="240" w:lineRule="auto"/>
      <w:ind w:left="6639" w:hanging="360"/>
      <w:jc w:val="both"/>
    </w:pPr>
    <w:rPr>
      <w:rFonts w:ascii="Times New Roman" w:hAnsi="Times New Roman"/>
      <w:sz w:val="24"/>
      <w:szCs w:val="24"/>
    </w:rPr>
  </w:style>
  <w:style w:type="paragraph" w:customStyle="1" w:styleId="L7-8">
    <w:name w:val="L7-8"/>
    <w:uiPriority w:val="99"/>
    <w:pPr>
      <w:widowControl w:val="0"/>
      <w:autoSpaceDE w:val="0"/>
      <w:autoSpaceDN w:val="0"/>
      <w:adjustRightInd w:val="0"/>
      <w:spacing w:after="0" w:line="240" w:lineRule="auto"/>
      <w:ind w:left="7359" w:hanging="360"/>
      <w:jc w:val="both"/>
    </w:pPr>
    <w:rPr>
      <w:rFonts w:ascii="Times New Roman" w:hAnsi="Times New Roman"/>
      <w:sz w:val="24"/>
      <w:szCs w:val="24"/>
    </w:rPr>
  </w:style>
  <w:style w:type="paragraph" w:customStyle="1" w:styleId="L2-1">
    <w:name w:val="L2-1"/>
    <w:uiPriority w:val="99"/>
    <w:pPr>
      <w:widowControl w:val="0"/>
      <w:autoSpaceDE w:val="0"/>
      <w:autoSpaceDN w:val="0"/>
      <w:adjustRightInd w:val="0"/>
      <w:spacing w:after="0" w:line="240" w:lineRule="auto"/>
      <w:ind w:left="3039" w:hanging="72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spacing w:after="0" w:line="240" w:lineRule="auto"/>
      <w:ind w:left="3399" w:hanging="36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spacing w:after="0" w:line="240" w:lineRule="auto"/>
      <w:ind w:left="4119" w:hanging="18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spacing w:after="0" w:line="240" w:lineRule="auto"/>
      <w:ind w:left="4839" w:hanging="36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spacing w:after="0" w:line="240" w:lineRule="auto"/>
      <w:ind w:left="5559" w:hanging="36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spacing w:after="0" w:line="240" w:lineRule="auto"/>
      <w:ind w:left="6279" w:hanging="18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spacing w:after="0" w:line="240" w:lineRule="auto"/>
      <w:ind w:left="6999" w:hanging="36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spacing w:after="0" w:line="240" w:lineRule="auto"/>
      <w:ind w:left="7719" w:hanging="360"/>
      <w:jc w:val="both"/>
    </w:pPr>
    <w:rPr>
      <w:rFonts w:ascii="Times New Roman" w:hAnsi="Times New Roman"/>
      <w:sz w:val="24"/>
      <w:szCs w:val="24"/>
    </w:rPr>
  </w:style>
  <w:style w:type="paragraph" w:customStyle="1" w:styleId="L13-1">
    <w:name w:val="L13-1"/>
    <w:uiPriority w:val="99"/>
    <w:pPr>
      <w:widowControl w:val="0"/>
      <w:autoSpaceDE w:val="0"/>
      <w:autoSpaceDN w:val="0"/>
      <w:adjustRightInd w:val="0"/>
      <w:spacing w:after="0" w:line="240" w:lineRule="auto"/>
      <w:ind w:left="1950" w:hanging="561"/>
      <w:jc w:val="both"/>
    </w:pPr>
    <w:rPr>
      <w:rFonts w:ascii="Times New Roman" w:hAnsi="Times New Roman"/>
      <w:sz w:val="24"/>
      <w:szCs w:val="24"/>
    </w:rPr>
  </w:style>
  <w:style w:type="paragraph" w:customStyle="1" w:styleId="L13-2">
    <w:name w:val="L13-2"/>
    <w:uiPriority w:val="99"/>
    <w:pPr>
      <w:widowControl w:val="0"/>
      <w:autoSpaceDE w:val="0"/>
      <w:autoSpaceDN w:val="0"/>
      <w:adjustRightInd w:val="0"/>
      <w:spacing w:after="0" w:line="240" w:lineRule="auto"/>
      <w:ind w:left="2467" w:hanging="360"/>
      <w:jc w:val="both"/>
    </w:pPr>
    <w:rPr>
      <w:rFonts w:ascii="Times New Roman" w:hAnsi="Times New Roman"/>
      <w:sz w:val="24"/>
      <w:szCs w:val="24"/>
    </w:rPr>
  </w:style>
  <w:style w:type="paragraph" w:customStyle="1" w:styleId="L13-3">
    <w:name w:val="L13-3"/>
    <w:uiPriority w:val="99"/>
    <w:pPr>
      <w:widowControl w:val="0"/>
      <w:autoSpaceDE w:val="0"/>
      <w:autoSpaceDN w:val="0"/>
      <w:adjustRightInd w:val="0"/>
      <w:spacing w:after="0" w:line="240" w:lineRule="auto"/>
      <w:ind w:left="3187" w:hanging="180"/>
      <w:jc w:val="both"/>
    </w:pPr>
    <w:rPr>
      <w:rFonts w:ascii="Times New Roman" w:hAnsi="Times New Roman"/>
      <w:sz w:val="24"/>
      <w:szCs w:val="24"/>
    </w:rPr>
  </w:style>
  <w:style w:type="paragraph" w:customStyle="1" w:styleId="L13-4">
    <w:name w:val="L13-4"/>
    <w:uiPriority w:val="99"/>
    <w:pPr>
      <w:widowControl w:val="0"/>
      <w:autoSpaceDE w:val="0"/>
      <w:autoSpaceDN w:val="0"/>
      <w:adjustRightInd w:val="0"/>
      <w:spacing w:after="0" w:line="240" w:lineRule="auto"/>
      <w:ind w:left="3907" w:hanging="360"/>
      <w:jc w:val="both"/>
    </w:pPr>
    <w:rPr>
      <w:rFonts w:ascii="Times New Roman" w:hAnsi="Times New Roman"/>
      <w:sz w:val="24"/>
      <w:szCs w:val="24"/>
    </w:rPr>
  </w:style>
  <w:style w:type="paragraph" w:customStyle="1" w:styleId="L13-5">
    <w:name w:val="L13-5"/>
    <w:uiPriority w:val="99"/>
    <w:pPr>
      <w:widowControl w:val="0"/>
      <w:autoSpaceDE w:val="0"/>
      <w:autoSpaceDN w:val="0"/>
      <w:adjustRightInd w:val="0"/>
      <w:spacing w:after="0" w:line="240" w:lineRule="auto"/>
      <w:ind w:left="4627" w:hanging="360"/>
      <w:jc w:val="both"/>
    </w:pPr>
    <w:rPr>
      <w:rFonts w:ascii="Times New Roman" w:hAnsi="Times New Roman"/>
      <w:sz w:val="24"/>
      <w:szCs w:val="24"/>
    </w:rPr>
  </w:style>
  <w:style w:type="paragraph" w:customStyle="1" w:styleId="L13-6">
    <w:name w:val="L13-6"/>
    <w:uiPriority w:val="99"/>
    <w:pPr>
      <w:widowControl w:val="0"/>
      <w:autoSpaceDE w:val="0"/>
      <w:autoSpaceDN w:val="0"/>
      <w:adjustRightInd w:val="0"/>
      <w:spacing w:after="0" w:line="240" w:lineRule="auto"/>
      <w:ind w:left="5347" w:hanging="180"/>
      <w:jc w:val="both"/>
    </w:pPr>
    <w:rPr>
      <w:rFonts w:ascii="Times New Roman" w:hAnsi="Times New Roman"/>
      <w:sz w:val="24"/>
      <w:szCs w:val="24"/>
    </w:rPr>
  </w:style>
  <w:style w:type="paragraph" w:customStyle="1" w:styleId="L13-7">
    <w:name w:val="L13-7"/>
    <w:uiPriority w:val="99"/>
    <w:pPr>
      <w:widowControl w:val="0"/>
      <w:autoSpaceDE w:val="0"/>
      <w:autoSpaceDN w:val="0"/>
      <w:adjustRightInd w:val="0"/>
      <w:spacing w:after="0" w:line="240" w:lineRule="auto"/>
      <w:ind w:left="6067" w:hanging="360"/>
      <w:jc w:val="both"/>
    </w:pPr>
    <w:rPr>
      <w:rFonts w:ascii="Times New Roman" w:hAnsi="Times New Roman"/>
      <w:sz w:val="24"/>
      <w:szCs w:val="24"/>
    </w:rPr>
  </w:style>
  <w:style w:type="paragraph" w:customStyle="1" w:styleId="L13-8">
    <w:name w:val="L13-8"/>
    <w:uiPriority w:val="99"/>
    <w:pPr>
      <w:widowControl w:val="0"/>
      <w:autoSpaceDE w:val="0"/>
      <w:autoSpaceDN w:val="0"/>
      <w:adjustRightInd w:val="0"/>
      <w:spacing w:after="0" w:line="240" w:lineRule="auto"/>
      <w:ind w:left="6787" w:hanging="360"/>
      <w:jc w:val="both"/>
    </w:pPr>
    <w:rPr>
      <w:rFonts w:ascii="Times New Roman" w:hAnsi="Times New Roman"/>
      <w:sz w:val="24"/>
      <w:szCs w:val="24"/>
    </w:rPr>
  </w:style>
  <w:style w:type="paragraph" w:customStyle="1" w:styleId="L6-1">
    <w:name w:val="L6-1"/>
    <w:uiPriority w:val="99"/>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6-2">
    <w:name w:val="L6-2"/>
    <w:uiPriority w:val="99"/>
    <w:pPr>
      <w:widowControl w:val="0"/>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6-3">
    <w:name w:val="L6-3"/>
    <w:uiPriority w:val="99"/>
    <w:pPr>
      <w:widowControl w:val="0"/>
      <w:autoSpaceDE w:val="0"/>
      <w:autoSpaceDN w:val="0"/>
      <w:adjustRightInd w:val="0"/>
      <w:spacing w:after="0" w:line="240" w:lineRule="auto"/>
      <w:ind w:left="3240" w:hanging="180"/>
      <w:jc w:val="both"/>
    </w:pPr>
    <w:rPr>
      <w:rFonts w:ascii="Times New Roman" w:hAnsi="Times New Roman"/>
      <w:sz w:val="24"/>
      <w:szCs w:val="24"/>
    </w:rPr>
  </w:style>
  <w:style w:type="paragraph" w:customStyle="1" w:styleId="L6-4">
    <w:name w:val="L6-4"/>
    <w:uiPriority w:val="99"/>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6-5">
    <w:name w:val="L6-5"/>
    <w:uiPriority w:val="99"/>
    <w:pPr>
      <w:widowControl w:val="0"/>
      <w:autoSpaceDE w:val="0"/>
      <w:autoSpaceDN w:val="0"/>
      <w:adjustRightInd w:val="0"/>
      <w:spacing w:after="0" w:line="240" w:lineRule="auto"/>
      <w:ind w:left="4680" w:hanging="360"/>
      <w:jc w:val="both"/>
    </w:pPr>
    <w:rPr>
      <w:rFonts w:ascii="Times New Roman" w:hAnsi="Times New Roman"/>
      <w:sz w:val="24"/>
      <w:szCs w:val="24"/>
    </w:rPr>
  </w:style>
  <w:style w:type="paragraph" w:customStyle="1" w:styleId="L6-6">
    <w:name w:val="L6-6"/>
    <w:uiPriority w:val="99"/>
    <w:pPr>
      <w:widowControl w:val="0"/>
      <w:autoSpaceDE w:val="0"/>
      <w:autoSpaceDN w:val="0"/>
      <w:adjustRightInd w:val="0"/>
      <w:spacing w:after="0" w:line="240" w:lineRule="auto"/>
      <w:ind w:left="5400" w:hanging="180"/>
      <w:jc w:val="both"/>
    </w:pPr>
    <w:rPr>
      <w:rFonts w:ascii="Times New Roman" w:hAnsi="Times New Roman"/>
      <w:sz w:val="24"/>
      <w:szCs w:val="24"/>
    </w:rPr>
  </w:style>
  <w:style w:type="paragraph" w:customStyle="1" w:styleId="L6-7">
    <w:name w:val="L6-7"/>
    <w:uiPriority w:val="99"/>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6-8">
    <w:name w:val="L6-8"/>
    <w:uiPriority w:val="99"/>
    <w:pPr>
      <w:widowControl w:val="0"/>
      <w:autoSpaceDE w:val="0"/>
      <w:autoSpaceDN w:val="0"/>
      <w:adjustRightInd w:val="0"/>
      <w:spacing w:after="0" w:line="240" w:lineRule="auto"/>
      <w:ind w:left="6840" w:hanging="360"/>
      <w:jc w:val="both"/>
    </w:pPr>
    <w:rPr>
      <w:rFonts w:ascii="Times New Roman" w:hAnsi="Times New Roman"/>
      <w:sz w:val="24"/>
      <w:szCs w:val="24"/>
    </w:rPr>
  </w:style>
  <w:style w:type="paragraph" w:customStyle="1" w:styleId="L5-1">
    <w:name w:val="L5-1"/>
    <w:uiPriority w:val="99"/>
    <w:pPr>
      <w:widowControl w:val="0"/>
      <w:autoSpaceDE w:val="0"/>
      <w:autoSpaceDN w:val="0"/>
      <w:adjustRightInd w:val="0"/>
      <w:spacing w:after="0" w:line="240" w:lineRule="auto"/>
      <w:ind w:left="2520" w:hanging="720"/>
      <w:jc w:val="both"/>
    </w:pPr>
    <w:rPr>
      <w:rFonts w:ascii="Times New Roman" w:hAnsi="Times New Roman"/>
      <w:sz w:val="24"/>
      <w:szCs w:val="24"/>
    </w:rPr>
  </w:style>
  <w:style w:type="paragraph" w:customStyle="1" w:styleId="L5-2">
    <w:name w:val="L5-2"/>
    <w:uiPriority w:val="99"/>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5-3">
    <w:name w:val="L5-3"/>
    <w:uiPriority w:val="99"/>
    <w:pPr>
      <w:widowControl w:val="0"/>
      <w:autoSpaceDE w:val="0"/>
      <w:autoSpaceDN w:val="0"/>
      <w:adjustRightInd w:val="0"/>
      <w:spacing w:after="0" w:line="240" w:lineRule="auto"/>
      <w:ind w:left="3600" w:hanging="180"/>
      <w:jc w:val="both"/>
    </w:pPr>
    <w:rPr>
      <w:rFonts w:ascii="Times New Roman" w:hAnsi="Times New Roman"/>
      <w:sz w:val="24"/>
      <w:szCs w:val="24"/>
    </w:rPr>
  </w:style>
  <w:style w:type="paragraph" w:customStyle="1" w:styleId="L5-4">
    <w:name w:val="L5-4"/>
    <w:uiPriority w:val="99"/>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5-5">
    <w:name w:val="L5-5"/>
    <w:uiPriority w:val="99"/>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5-6">
    <w:name w:val="L5-6"/>
    <w:uiPriority w:val="99"/>
    <w:pPr>
      <w:widowControl w:val="0"/>
      <w:autoSpaceDE w:val="0"/>
      <w:autoSpaceDN w:val="0"/>
      <w:adjustRightInd w:val="0"/>
      <w:spacing w:after="0" w:line="240" w:lineRule="auto"/>
      <w:ind w:left="5760" w:hanging="180"/>
      <w:jc w:val="both"/>
    </w:pPr>
    <w:rPr>
      <w:rFonts w:ascii="Times New Roman" w:hAnsi="Times New Roman"/>
      <w:sz w:val="24"/>
      <w:szCs w:val="24"/>
    </w:rPr>
  </w:style>
  <w:style w:type="paragraph" w:customStyle="1" w:styleId="L5-7">
    <w:name w:val="L5-7"/>
    <w:uiPriority w:val="99"/>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5-8">
    <w:name w:val="L5-8"/>
    <w:uiPriority w:val="99"/>
    <w:pPr>
      <w:widowControl w:val="0"/>
      <w:autoSpaceDE w:val="0"/>
      <w:autoSpaceDN w:val="0"/>
      <w:adjustRightInd w:val="0"/>
      <w:spacing w:after="0" w:line="240" w:lineRule="auto"/>
      <w:ind w:left="7200" w:hanging="360"/>
      <w:jc w:val="both"/>
    </w:pPr>
    <w:rPr>
      <w:rFonts w:ascii="Times New Roman" w:hAnsi="Times New Roman"/>
      <w:sz w:val="24"/>
      <w:szCs w:val="24"/>
    </w:rPr>
  </w:style>
  <w:style w:type="paragraph" w:customStyle="1" w:styleId="ListParagra">
    <w:name w:val="List Paragra"/>
    <w:uiPriority w:val="99"/>
    <w:pPr>
      <w:widowControl w:val="0"/>
      <w:autoSpaceDE w:val="0"/>
      <w:autoSpaceDN w:val="0"/>
      <w:adjustRightInd w:val="0"/>
      <w:spacing w:after="159" w:line="258" w:lineRule="auto"/>
      <w:ind w:left="720"/>
      <w:jc w:val="both"/>
    </w:pPr>
    <w:rPr>
      <w:rFonts w:ascii="Calibri" w:hAnsi="Calibri" w:cs="Calibri"/>
    </w:rPr>
  </w:style>
  <w:style w:type="paragraph" w:customStyle="1" w:styleId="L15-9">
    <w:name w:val="L15-9"/>
    <w:uiPriority w:val="99"/>
    <w:pPr>
      <w:widowControl w:val="0"/>
      <w:autoSpaceDE w:val="0"/>
      <w:autoSpaceDN w:val="0"/>
      <w:adjustRightInd w:val="0"/>
      <w:spacing w:after="0" w:line="240" w:lineRule="auto"/>
      <w:ind w:left="6840" w:hanging="180"/>
      <w:jc w:val="both"/>
    </w:pPr>
    <w:rPr>
      <w:rFonts w:ascii="Times New Roman" w:hAnsi="Times New Roman"/>
      <w:sz w:val="24"/>
      <w:szCs w:val="24"/>
    </w:rPr>
  </w:style>
  <w:style w:type="paragraph" w:customStyle="1" w:styleId="L6-9">
    <w:name w:val="L6-9"/>
    <w:uiPriority w:val="99"/>
    <w:pPr>
      <w:widowControl w:val="0"/>
      <w:autoSpaceDE w:val="0"/>
      <w:autoSpaceDN w:val="0"/>
      <w:adjustRightInd w:val="0"/>
      <w:spacing w:after="0" w:line="240" w:lineRule="auto"/>
      <w:ind w:left="7560" w:hanging="180"/>
      <w:jc w:val="both"/>
    </w:pPr>
    <w:rPr>
      <w:rFonts w:ascii="Times New Roman" w:hAnsi="Times New Roman"/>
      <w:sz w:val="24"/>
      <w:szCs w:val="24"/>
    </w:rPr>
  </w:style>
  <w:style w:type="paragraph" w:customStyle="1" w:styleId="L7-9">
    <w:name w:val="L7-9"/>
    <w:uiPriority w:val="99"/>
    <w:pPr>
      <w:widowControl w:val="0"/>
      <w:autoSpaceDE w:val="0"/>
      <w:autoSpaceDN w:val="0"/>
      <w:adjustRightInd w:val="0"/>
      <w:spacing w:after="0" w:line="240" w:lineRule="auto"/>
      <w:ind w:left="8079" w:hanging="18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spacing w:after="0" w:line="240" w:lineRule="auto"/>
      <w:ind w:left="8439" w:hanging="180"/>
      <w:jc w:val="both"/>
    </w:pPr>
    <w:rPr>
      <w:rFonts w:ascii="Times New Roman" w:hAnsi="Times New Roman"/>
      <w:sz w:val="24"/>
      <w:szCs w:val="24"/>
    </w:rPr>
  </w:style>
  <w:style w:type="paragraph" w:customStyle="1" w:styleId="L5-9">
    <w:name w:val="L5-9"/>
    <w:uiPriority w:val="99"/>
    <w:pPr>
      <w:widowControl w:val="0"/>
      <w:autoSpaceDE w:val="0"/>
      <w:autoSpaceDN w:val="0"/>
      <w:adjustRightInd w:val="0"/>
      <w:spacing w:after="0" w:line="240" w:lineRule="auto"/>
      <w:ind w:left="7920" w:hanging="180"/>
      <w:jc w:val="both"/>
    </w:pPr>
    <w:rPr>
      <w:rFonts w:ascii="Times New Roman" w:hAnsi="Times New Roman"/>
      <w:sz w:val="24"/>
      <w:szCs w:val="24"/>
    </w:rPr>
  </w:style>
  <w:style w:type="paragraph" w:customStyle="1" w:styleId="L13-9">
    <w:name w:val="L13-9"/>
    <w:uiPriority w:val="99"/>
    <w:pPr>
      <w:widowControl w:val="0"/>
      <w:autoSpaceDE w:val="0"/>
      <w:autoSpaceDN w:val="0"/>
      <w:adjustRightInd w:val="0"/>
      <w:spacing w:after="0" w:line="240" w:lineRule="auto"/>
      <w:ind w:left="7507" w:hanging="180"/>
      <w:jc w:val="both"/>
    </w:pPr>
    <w:rPr>
      <w:rFonts w:ascii="Times New Roman" w:hAnsi="Times New Roman"/>
      <w:sz w:val="24"/>
      <w:szCs w:val="24"/>
    </w:rPr>
  </w:style>
  <w:style w:type="paragraph" w:styleId="ListParagraph">
    <w:name w:val="List Paragraph"/>
    <w:basedOn w:val="Normal"/>
    <w:uiPriority w:val="34"/>
    <w:qFormat/>
    <w:rsid w:val="008B57D9"/>
    <w:pPr>
      <w:ind w:left="720"/>
    </w:pPr>
  </w:style>
  <w:style w:type="paragraph" w:styleId="Header">
    <w:name w:val="header"/>
    <w:basedOn w:val="Normal"/>
    <w:link w:val="HeaderChar"/>
    <w:uiPriority w:val="99"/>
    <w:unhideWhenUsed/>
    <w:rsid w:val="0002746C"/>
    <w:pPr>
      <w:tabs>
        <w:tab w:val="center" w:pos="4680"/>
        <w:tab w:val="right" w:pos="9360"/>
      </w:tabs>
    </w:pPr>
  </w:style>
  <w:style w:type="character" w:customStyle="1" w:styleId="HeaderChar">
    <w:name w:val="Header Char"/>
    <w:basedOn w:val="DefaultParagraphFont"/>
    <w:link w:val="Header"/>
    <w:uiPriority w:val="99"/>
    <w:locked/>
    <w:rsid w:val="0002746C"/>
    <w:rPr>
      <w:rFonts w:ascii="Times New Roman" w:hAnsi="Times New Roman" w:cs="Times New Roman"/>
      <w:sz w:val="20"/>
      <w:szCs w:val="20"/>
    </w:rPr>
  </w:style>
  <w:style w:type="paragraph" w:styleId="Footer">
    <w:name w:val="footer"/>
    <w:basedOn w:val="Normal"/>
    <w:link w:val="FooterChar"/>
    <w:uiPriority w:val="99"/>
    <w:unhideWhenUsed/>
    <w:rsid w:val="0002746C"/>
    <w:pPr>
      <w:tabs>
        <w:tab w:val="center" w:pos="4680"/>
        <w:tab w:val="right" w:pos="9360"/>
      </w:tabs>
    </w:pPr>
  </w:style>
  <w:style w:type="character" w:customStyle="1" w:styleId="FooterChar">
    <w:name w:val="Footer Char"/>
    <w:basedOn w:val="DefaultParagraphFont"/>
    <w:link w:val="Footer"/>
    <w:uiPriority w:val="99"/>
    <w:locked/>
    <w:rsid w:val="0002746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A4F1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4F1F"/>
    <w:rPr>
      <w:rFonts w:ascii="Segoe UI" w:hAnsi="Segoe UI" w:cs="Segoe UI"/>
      <w:sz w:val="18"/>
      <w:szCs w:val="18"/>
    </w:rPr>
  </w:style>
  <w:style w:type="character" w:styleId="Hyperlink">
    <w:name w:val="Hyperlink"/>
    <w:basedOn w:val="DefaultParagraphFont"/>
    <w:uiPriority w:val="99"/>
    <w:unhideWhenUsed/>
    <w:rsid w:val="00231396"/>
    <w:rPr>
      <w:rFonts w:cs="Times New Roman"/>
      <w:color w:val="0563C1" w:themeColor="hyperlink"/>
      <w:u w:val="single"/>
    </w:rPr>
  </w:style>
  <w:style w:type="character" w:styleId="Mention">
    <w:name w:val="Mention"/>
    <w:basedOn w:val="DefaultParagraphFont"/>
    <w:uiPriority w:val="99"/>
    <w:semiHidden/>
    <w:unhideWhenUsed/>
    <w:rsid w:val="00231396"/>
    <w:rPr>
      <w:rFonts w:cs="Times New Roman"/>
      <w:color w:val="2B579A"/>
      <w:shd w:val="clear" w:color="auto" w:fill="E6E6E6"/>
    </w:rPr>
  </w:style>
  <w:style w:type="character" w:styleId="FollowedHyperlink">
    <w:name w:val="FollowedHyperlink"/>
    <w:basedOn w:val="DefaultParagraphFont"/>
    <w:uiPriority w:val="99"/>
    <w:semiHidden/>
    <w:unhideWhenUsed/>
    <w:rsid w:val="00231396"/>
    <w:rPr>
      <w:rFonts w:cs="Times New Roman"/>
      <w:color w:val="954F72" w:themeColor="followedHyperlink"/>
      <w:u w:val="single"/>
    </w:rPr>
  </w:style>
  <w:style w:type="paragraph" w:styleId="EndnoteText">
    <w:name w:val="endnote text"/>
    <w:basedOn w:val="Normal"/>
    <w:link w:val="EndnoteTextChar"/>
    <w:uiPriority w:val="99"/>
    <w:semiHidden/>
    <w:unhideWhenUsed/>
    <w:rsid w:val="000D0D36"/>
  </w:style>
  <w:style w:type="character" w:customStyle="1" w:styleId="EndnoteTextChar">
    <w:name w:val="Endnote Text Char"/>
    <w:basedOn w:val="DefaultParagraphFont"/>
    <w:link w:val="EndnoteText"/>
    <w:uiPriority w:val="99"/>
    <w:semiHidden/>
    <w:rsid w:val="000D0D36"/>
    <w:rPr>
      <w:rFonts w:ascii="Times New Roman" w:hAnsi="Times New Roman"/>
      <w:sz w:val="20"/>
      <w:szCs w:val="20"/>
    </w:rPr>
  </w:style>
  <w:style w:type="character" w:styleId="EndnoteReference">
    <w:name w:val="endnote reference"/>
    <w:basedOn w:val="DefaultParagraphFont"/>
    <w:uiPriority w:val="99"/>
    <w:semiHidden/>
    <w:unhideWhenUsed/>
    <w:rsid w:val="000D0D36"/>
    <w:rPr>
      <w:vertAlign w:val="superscript"/>
    </w:rPr>
  </w:style>
  <w:style w:type="paragraph" w:customStyle="1" w:styleId="xmsonormal">
    <w:name w:val="x_msonormal"/>
    <w:basedOn w:val="Normal"/>
    <w:rsid w:val="007B10FF"/>
    <w:pPr>
      <w:widowControl/>
      <w:autoSpaceDE/>
      <w:autoSpaceDN/>
      <w:adjustRightInd/>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42184F"/>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7E3C82"/>
    <w:rPr>
      <w:sz w:val="16"/>
      <w:szCs w:val="16"/>
    </w:rPr>
  </w:style>
  <w:style w:type="paragraph" w:styleId="CommentText">
    <w:name w:val="annotation text"/>
    <w:basedOn w:val="Normal"/>
    <w:link w:val="CommentTextChar"/>
    <w:uiPriority w:val="99"/>
    <w:unhideWhenUsed/>
    <w:rsid w:val="007E3C82"/>
  </w:style>
  <w:style w:type="character" w:customStyle="1" w:styleId="CommentTextChar">
    <w:name w:val="Comment Text Char"/>
    <w:basedOn w:val="DefaultParagraphFont"/>
    <w:link w:val="CommentText"/>
    <w:uiPriority w:val="99"/>
    <w:rsid w:val="007E3C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E3C82"/>
    <w:rPr>
      <w:b/>
      <w:bCs/>
    </w:rPr>
  </w:style>
  <w:style w:type="character" w:customStyle="1" w:styleId="CommentSubjectChar">
    <w:name w:val="Comment Subject Char"/>
    <w:basedOn w:val="CommentTextChar"/>
    <w:link w:val="CommentSubject"/>
    <w:uiPriority w:val="99"/>
    <w:semiHidden/>
    <w:rsid w:val="007E3C82"/>
    <w:rPr>
      <w:rFonts w:ascii="Times New Roman" w:hAnsi="Times New Roman"/>
      <w:b/>
      <w:bCs/>
      <w:sz w:val="20"/>
      <w:szCs w:val="20"/>
    </w:rPr>
  </w:style>
  <w:style w:type="character" w:styleId="UnresolvedMention">
    <w:name w:val="Unresolved Mention"/>
    <w:basedOn w:val="DefaultParagraphFont"/>
    <w:uiPriority w:val="99"/>
    <w:semiHidden/>
    <w:unhideWhenUsed/>
    <w:rsid w:val="00A03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081857">
      <w:bodyDiv w:val="1"/>
      <w:marLeft w:val="0"/>
      <w:marRight w:val="0"/>
      <w:marTop w:val="0"/>
      <w:marBottom w:val="0"/>
      <w:divBdr>
        <w:top w:val="none" w:sz="0" w:space="0" w:color="auto"/>
        <w:left w:val="none" w:sz="0" w:space="0" w:color="auto"/>
        <w:bottom w:val="none" w:sz="0" w:space="0" w:color="auto"/>
        <w:right w:val="none" w:sz="0" w:space="0" w:color="auto"/>
      </w:divBdr>
    </w:div>
    <w:div w:id="96677545">
      <w:bodyDiv w:val="1"/>
      <w:marLeft w:val="0"/>
      <w:marRight w:val="0"/>
      <w:marTop w:val="0"/>
      <w:marBottom w:val="0"/>
      <w:divBdr>
        <w:top w:val="none" w:sz="0" w:space="0" w:color="auto"/>
        <w:left w:val="none" w:sz="0" w:space="0" w:color="auto"/>
        <w:bottom w:val="none" w:sz="0" w:space="0" w:color="auto"/>
        <w:right w:val="none" w:sz="0" w:space="0" w:color="auto"/>
      </w:divBdr>
      <w:divsChild>
        <w:div w:id="1176268534">
          <w:marLeft w:val="0"/>
          <w:marRight w:val="0"/>
          <w:marTop w:val="0"/>
          <w:marBottom w:val="0"/>
          <w:divBdr>
            <w:top w:val="none" w:sz="0" w:space="0" w:color="3D3D3D"/>
            <w:left w:val="none" w:sz="0" w:space="0" w:color="3D3D3D"/>
            <w:bottom w:val="none" w:sz="0" w:space="0" w:color="3D3D3D"/>
            <w:right w:val="none" w:sz="0" w:space="0" w:color="3D3D3D"/>
          </w:divBdr>
        </w:div>
      </w:divsChild>
    </w:div>
    <w:div w:id="128666235">
      <w:bodyDiv w:val="1"/>
      <w:marLeft w:val="0"/>
      <w:marRight w:val="0"/>
      <w:marTop w:val="0"/>
      <w:marBottom w:val="0"/>
      <w:divBdr>
        <w:top w:val="none" w:sz="0" w:space="0" w:color="auto"/>
        <w:left w:val="none" w:sz="0" w:space="0" w:color="auto"/>
        <w:bottom w:val="none" w:sz="0" w:space="0" w:color="auto"/>
        <w:right w:val="none" w:sz="0" w:space="0" w:color="auto"/>
      </w:divBdr>
    </w:div>
    <w:div w:id="175199322">
      <w:bodyDiv w:val="1"/>
      <w:marLeft w:val="0"/>
      <w:marRight w:val="0"/>
      <w:marTop w:val="0"/>
      <w:marBottom w:val="0"/>
      <w:divBdr>
        <w:top w:val="none" w:sz="0" w:space="0" w:color="auto"/>
        <w:left w:val="none" w:sz="0" w:space="0" w:color="auto"/>
        <w:bottom w:val="none" w:sz="0" w:space="0" w:color="auto"/>
        <w:right w:val="none" w:sz="0" w:space="0" w:color="auto"/>
      </w:divBdr>
      <w:divsChild>
        <w:div w:id="205456184">
          <w:marLeft w:val="0"/>
          <w:marRight w:val="0"/>
          <w:marTop w:val="0"/>
          <w:marBottom w:val="0"/>
          <w:divBdr>
            <w:top w:val="none" w:sz="0" w:space="0" w:color="3D3D3D"/>
            <w:left w:val="none" w:sz="0" w:space="0" w:color="3D3D3D"/>
            <w:bottom w:val="none" w:sz="0" w:space="0" w:color="3D3D3D"/>
            <w:right w:val="none" w:sz="0" w:space="0" w:color="3D3D3D"/>
          </w:divBdr>
          <w:divsChild>
            <w:div w:id="137418512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51466687">
      <w:bodyDiv w:val="1"/>
      <w:marLeft w:val="0"/>
      <w:marRight w:val="0"/>
      <w:marTop w:val="0"/>
      <w:marBottom w:val="0"/>
      <w:divBdr>
        <w:top w:val="none" w:sz="0" w:space="0" w:color="auto"/>
        <w:left w:val="none" w:sz="0" w:space="0" w:color="auto"/>
        <w:bottom w:val="none" w:sz="0" w:space="0" w:color="auto"/>
        <w:right w:val="none" w:sz="0" w:space="0" w:color="auto"/>
      </w:divBdr>
    </w:div>
    <w:div w:id="790247846">
      <w:bodyDiv w:val="1"/>
      <w:marLeft w:val="0"/>
      <w:marRight w:val="0"/>
      <w:marTop w:val="0"/>
      <w:marBottom w:val="0"/>
      <w:divBdr>
        <w:top w:val="none" w:sz="0" w:space="0" w:color="auto"/>
        <w:left w:val="none" w:sz="0" w:space="0" w:color="auto"/>
        <w:bottom w:val="none" w:sz="0" w:space="0" w:color="auto"/>
        <w:right w:val="none" w:sz="0" w:space="0" w:color="auto"/>
      </w:divBdr>
    </w:div>
    <w:div w:id="858005498">
      <w:bodyDiv w:val="1"/>
      <w:marLeft w:val="0"/>
      <w:marRight w:val="0"/>
      <w:marTop w:val="0"/>
      <w:marBottom w:val="0"/>
      <w:divBdr>
        <w:top w:val="none" w:sz="0" w:space="0" w:color="auto"/>
        <w:left w:val="none" w:sz="0" w:space="0" w:color="auto"/>
        <w:bottom w:val="none" w:sz="0" w:space="0" w:color="auto"/>
        <w:right w:val="none" w:sz="0" w:space="0" w:color="auto"/>
      </w:divBdr>
      <w:divsChild>
        <w:div w:id="135219570">
          <w:marLeft w:val="0"/>
          <w:marRight w:val="0"/>
          <w:marTop w:val="0"/>
          <w:marBottom w:val="0"/>
          <w:divBdr>
            <w:top w:val="none" w:sz="0" w:space="0" w:color="auto"/>
            <w:left w:val="none" w:sz="0" w:space="0" w:color="auto"/>
            <w:bottom w:val="none" w:sz="0" w:space="0" w:color="auto"/>
            <w:right w:val="none" w:sz="0" w:space="0" w:color="auto"/>
          </w:divBdr>
          <w:divsChild>
            <w:div w:id="701247465">
              <w:marLeft w:val="0"/>
              <w:marRight w:val="0"/>
              <w:marTop w:val="0"/>
              <w:marBottom w:val="0"/>
              <w:divBdr>
                <w:top w:val="none" w:sz="0" w:space="0" w:color="auto"/>
                <w:left w:val="none" w:sz="0" w:space="0" w:color="auto"/>
                <w:bottom w:val="none" w:sz="0" w:space="0" w:color="auto"/>
                <w:right w:val="none" w:sz="0" w:space="0" w:color="auto"/>
              </w:divBdr>
              <w:divsChild>
                <w:div w:id="17961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2614">
      <w:bodyDiv w:val="1"/>
      <w:marLeft w:val="0"/>
      <w:marRight w:val="0"/>
      <w:marTop w:val="0"/>
      <w:marBottom w:val="0"/>
      <w:divBdr>
        <w:top w:val="none" w:sz="0" w:space="0" w:color="auto"/>
        <w:left w:val="none" w:sz="0" w:space="0" w:color="auto"/>
        <w:bottom w:val="none" w:sz="0" w:space="0" w:color="auto"/>
        <w:right w:val="none" w:sz="0" w:space="0" w:color="auto"/>
      </w:divBdr>
      <w:divsChild>
        <w:div w:id="1575242412">
          <w:marLeft w:val="0"/>
          <w:marRight w:val="0"/>
          <w:marTop w:val="0"/>
          <w:marBottom w:val="0"/>
          <w:divBdr>
            <w:top w:val="none" w:sz="0" w:space="0" w:color="3D3D3D"/>
            <w:left w:val="none" w:sz="0" w:space="0" w:color="3D3D3D"/>
            <w:bottom w:val="none" w:sz="0" w:space="0" w:color="3D3D3D"/>
            <w:right w:val="none" w:sz="0" w:space="0" w:color="3D3D3D"/>
          </w:divBdr>
        </w:div>
      </w:divsChild>
    </w:div>
    <w:div w:id="1467045779">
      <w:bodyDiv w:val="1"/>
      <w:marLeft w:val="0"/>
      <w:marRight w:val="0"/>
      <w:marTop w:val="0"/>
      <w:marBottom w:val="0"/>
      <w:divBdr>
        <w:top w:val="none" w:sz="0" w:space="0" w:color="auto"/>
        <w:left w:val="none" w:sz="0" w:space="0" w:color="auto"/>
        <w:bottom w:val="none" w:sz="0" w:space="0" w:color="auto"/>
        <w:right w:val="none" w:sz="0" w:space="0" w:color="auto"/>
      </w:divBdr>
    </w:div>
    <w:div w:id="1710298011">
      <w:bodyDiv w:val="1"/>
      <w:marLeft w:val="0"/>
      <w:marRight w:val="0"/>
      <w:marTop w:val="0"/>
      <w:marBottom w:val="0"/>
      <w:divBdr>
        <w:top w:val="none" w:sz="0" w:space="0" w:color="auto"/>
        <w:left w:val="none" w:sz="0" w:space="0" w:color="auto"/>
        <w:bottom w:val="none" w:sz="0" w:space="0" w:color="auto"/>
        <w:right w:val="none" w:sz="0" w:space="0" w:color="auto"/>
      </w:divBdr>
      <w:divsChild>
        <w:div w:id="244001991">
          <w:marLeft w:val="0"/>
          <w:marRight w:val="0"/>
          <w:marTop w:val="0"/>
          <w:marBottom w:val="0"/>
          <w:divBdr>
            <w:top w:val="none" w:sz="0" w:space="0" w:color="3D3D3D"/>
            <w:left w:val="none" w:sz="0" w:space="0" w:color="3D3D3D"/>
            <w:bottom w:val="none" w:sz="0" w:space="0" w:color="3D3D3D"/>
            <w:right w:val="none" w:sz="0" w:space="0" w:color="3D3D3D"/>
          </w:divBdr>
          <w:divsChild>
            <w:div w:id="54441190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360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74285-B189-43FF-9CEB-11474CEC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8</Pages>
  <Words>2800</Words>
  <Characters>14673</Characters>
  <Application>Microsoft Office Word</Application>
  <DocSecurity>0</DocSecurity>
  <Lines>333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232</cp:revision>
  <cp:lastPrinted>2024-04-17T21:33:00Z</cp:lastPrinted>
  <dcterms:created xsi:type="dcterms:W3CDTF">2023-11-20T23:04:00Z</dcterms:created>
  <dcterms:modified xsi:type="dcterms:W3CDTF">2024-04-17T21:33:00Z</dcterms:modified>
</cp:coreProperties>
</file>