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E9CA" w14:textId="0FCC51CC" w:rsidR="002F7D3F" w:rsidRPr="00B84041" w:rsidRDefault="002F7D3F" w:rsidP="00404BF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B84041">
        <w:rPr>
          <w:rFonts w:ascii="Times New Roman" w:hAnsi="Times New Roman" w:cs="Times New Roman"/>
          <w:sz w:val="28"/>
          <w:szCs w:val="28"/>
          <w:lang w:val="en-CA"/>
        </w:rPr>
        <w:fldChar w:fldCharType="begin"/>
      </w:r>
      <w:r w:rsidRPr="00B84041">
        <w:rPr>
          <w:rFonts w:ascii="Times New Roman" w:hAnsi="Times New Roman" w:cs="Times New Roman"/>
          <w:sz w:val="28"/>
          <w:szCs w:val="28"/>
          <w:lang w:val="en-CA"/>
        </w:rPr>
        <w:instrText xml:space="preserve"> SEQ CHAPTER \h \r 1</w:instrText>
      </w:r>
      <w:r w:rsidRPr="00B84041">
        <w:rPr>
          <w:rFonts w:ascii="Times New Roman" w:hAnsi="Times New Roman" w:cs="Times New Roman"/>
          <w:sz w:val="28"/>
          <w:szCs w:val="28"/>
          <w:lang w:val="en-CA"/>
        </w:rPr>
        <w:fldChar w:fldCharType="end"/>
      </w:r>
      <w:r w:rsidRPr="00B84041">
        <w:rPr>
          <w:rFonts w:ascii="Times New Roman" w:hAnsi="Times New Roman" w:cs="Times New Roman"/>
          <w:b/>
          <w:bCs/>
          <w:sz w:val="28"/>
          <w:szCs w:val="28"/>
        </w:rPr>
        <w:t>8.0</w:t>
      </w:r>
      <w:r w:rsidR="00AE132B" w:rsidRPr="00B84041">
        <w:rPr>
          <w:rFonts w:ascii="Times New Roman" w:hAnsi="Times New Roman" w:cs="Times New Roman"/>
          <w:b/>
          <w:bCs/>
          <w:sz w:val="28"/>
          <w:szCs w:val="28"/>
        </w:rPr>
        <w:t>3</w:t>
      </w:r>
      <w:r w:rsidRPr="00B84041">
        <w:rPr>
          <w:rFonts w:ascii="Times New Roman" w:hAnsi="Times New Roman" w:cs="Times New Roman"/>
          <w:b/>
          <w:bCs/>
          <w:sz w:val="28"/>
          <w:szCs w:val="28"/>
        </w:rPr>
        <w:t xml:space="preserve"> </w:t>
      </w:r>
      <w:r w:rsidR="0032684F" w:rsidRPr="00B84041">
        <w:rPr>
          <w:rFonts w:ascii="Times New Roman" w:hAnsi="Times New Roman" w:cs="Times New Roman"/>
          <w:b/>
          <w:bCs/>
          <w:sz w:val="28"/>
          <w:szCs w:val="28"/>
        </w:rPr>
        <w:t>Admissio</w:t>
      </w:r>
      <w:r w:rsidR="006F553D" w:rsidRPr="00B84041">
        <w:rPr>
          <w:rFonts w:ascii="Times New Roman" w:hAnsi="Times New Roman" w:cs="Times New Roman"/>
          <w:b/>
          <w:bCs/>
          <w:sz w:val="28"/>
          <w:szCs w:val="28"/>
        </w:rPr>
        <w:t>n by Party</w:t>
      </w:r>
      <w:r w:rsidR="005060DB" w:rsidRPr="00B84041">
        <w:rPr>
          <w:rStyle w:val="EndnoteReference"/>
          <w:rFonts w:ascii="Times New Roman" w:hAnsi="Times New Roman" w:cs="Times New Roman"/>
          <w:b/>
          <w:bCs/>
          <w:sz w:val="28"/>
          <w:szCs w:val="28"/>
        </w:rPr>
        <w:endnoteReference w:id="2"/>
      </w:r>
    </w:p>
    <w:p w14:paraId="3648A953" w14:textId="77777777" w:rsidR="002F7D3F" w:rsidRPr="00B84041" w:rsidRDefault="002F7D3F" w:rsidP="00404BFC">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1C949ECF" w14:textId="77777777" w:rsidR="002F7D3F" w:rsidRPr="00B84041" w:rsidRDefault="00B03AF2" w:rsidP="00404BFC">
      <w:pPr>
        <w:pStyle w:val="L5-1"/>
        <w:widowControl/>
        <w:tabs>
          <w:tab w:val="left" w:pos="1440"/>
          <w:tab w:val="left" w:pos="2160"/>
          <w:tab w:val="left" w:pos="2880"/>
          <w:tab w:val="left" w:pos="3600"/>
          <w:tab w:val="left" w:pos="4320"/>
          <w:tab w:val="left" w:pos="5040"/>
          <w:tab w:val="left" w:pos="5760"/>
          <w:tab w:val="left" w:pos="6480"/>
          <w:tab w:val="left" w:pos="7200"/>
        </w:tabs>
        <w:ind w:left="720" w:right="720" w:firstLine="0"/>
        <w:rPr>
          <w:b/>
          <w:bCs/>
          <w:sz w:val="28"/>
          <w:szCs w:val="28"/>
        </w:rPr>
      </w:pPr>
      <w:r w:rsidRPr="00B84041">
        <w:rPr>
          <w:b/>
          <w:bCs/>
          <w:sz w:val="28"/>
          <w:szCs w:val="28"/>
        </w:rPr>
        <w:t xml:space="preserve">(1) </w:t>
      </w:r>
      <w:r w:rsidR="002F7D3F" w:rsidRPr="00B84041">
        <w:rPr>
          <w:b/>
          <w:bCs/>
          <w:sz w:val="28"/>
          <w:szCs w:val="28"/>
        </w:rPr>
        <w:t>A statement of a party which is inconsistent with the party</w:t>
      </w:r>
      <w:r w:rsidR="00E71DAB" w:rsidRPr="00B84041">
        <w:rPr>
          <w:b/>
          <w:bCs/>
          <w:sz w:val="28"/>
          <w:szCs w:val="28"/>
        </w:rPr>
        <w:t>’</w:t>
      </w:r>
      <w:r w:rsidR="002F7D3F" w:rsidRPr="00B84041">
        <w:rPr>
          <w:b/>
          <w:bCs/>
          <w:sz w:val="28"/>
          <w:szCs w:val="28"/>
        </w:rPr>
        <w:t>s position in the proceeding is admissible against that party, if the statement is one of the following:</w:t>
      </w:r>
    </w:p>
    <w:p w14:paraId="0C9D33E2" w14:textId="77777777" w:rsidR="002F7D3F" w:rsidRPr="00B84041" w:rsidRDefault="002F7D3F" w:rsidP="00404BFC">
      <w:pPr>
        <w:widowControl/>
        <w:rPr>
          <w:sz w:val="28"/>
          <w:szCs w:val="28"/>
        </w:rPr>
      </w:pPr>
    </w:p>
    <w:p w14:paraId="05DC1FED" w14:textId="77777777" w:rsidR="002F7D3F" w:rsidRPr="00B84041" w:rsidRDefault="00721D4E" w:rsidP="00404BFC">
      <w:pPr>
        <w:pStyle w:val="L3-1"/>
        <w:widowControl/>
        <w:numPr>
          <w:ilvl w:val="0"/>
          <w:numId w:val="2"/>
        </w:numPr>
        <w:tabs>
          <w:tab w:val="left" w:pos="2160"/>
          <w:tab w:val="left" w:pos="2880"/>
          <w:tab w:val="left" w:pos="3600"/>
          <w:tab w:val="left" w:pos="4320"/>
          <w:tab w:val="left" w:pos="5040"/>
          <w:tab w:val="left" w:pos="5760"/>
        </w:tabs>
        <w:ind w:left="1440" w:right="720" w:firstLine="0"/>
        <w:rPr>
          <w:b/>
          <w:bCs/>
          <w:sz w:val="28"/>
          <w:szCs w:val="28"/>
        </w:rPr>
      </w:pPr>
      <w:r w:rsidRPr="00B84041">
        <w:rPr>
          <w:b/>
          <w:bCs/>
          <w:sz w:val="28"/>
          <w:szCs w:val="28"/>
        </w:rPr>
        <w:t xml:space="preserve"> </w:t>
      </w:r>
      <w:r w:rsidR="002F7D3F" w:rsidRPr="00B84041">
        <w:rPr>
          <w:b/>
          <w:bCs/>
          <w:sz w:val="28"/>
          <w:szCs w:val="28"/>
        </w:rPr>
        <w:t>made by a party in an individual or representative capacity and offered against the party in that capacity, irrespective of the party’s lack of personal knowledge of the facts asserted by the party.</w:t>
      </w:r>
    </w:p>
    <w:p w14:paraId="68C16AC3" w14:textId="77777777" w:rsidR="002F7D3F" w:rsidRPr="00B84041" w:rsidRDefault="002F7D3F" w:rsidP="00404BFC">
      <w:pPr>
        <w:pStyle w:val="NoSpacing"/>
        <w:widowControl/>
        <w:numPr>
          <w:ilvl w:val="12"/>
          <w:numId w:val="0"/>
        </w:numPr>
        <w:tabs>
          <w:tab w:val="left" w:pos="1584"/>
          <w:tab w:val="left" w:pos="2160"/>
          <w:tab w:val="left" w:pos="2880"/>
          <w:tab w:val="left" w:pos="3600"/>
          <w:tab w:val="left" w:pos="4320"/>
          <w:tab w:val="left" w:pos="5040"/>
          <w:tab w:val="left" w:pos="5760"/>
          <w:tab w:val="left" w:pos="6336"/>
        </w:tabs>
        <w:ind w:right="720"/>
        <w:rPr>
          <w:rFonts w:ascii="Times New Roman" w:hAnsi="Times New Roman" w:cs="Times New Roman"/>
          <w:b/>
          <w:bCs/>
          <w:sz w:val="28"/>
          <w:szCs w:val="28"/>
        </w:rPr>
      </w:pPr>
    </w:p>
    <w:p w14:paraId="5F29A65C" w14:textId="598F6C93" w:rsidR="002F7D3F" w:rsidRPr="00B84041" w:rsidRDefault="00721D4E" w:rsidP="00404BFC">
      <w:pPr>
        <w:pStyle w:val="L3-1"/>
        <w:widowControl/>
        <w:numPr>
          <w:ilvl w:val="0"/>
          <w:numId w:val="2"/>
        </w:numPr>
        <w:tabs>
          <w:tab w:val="left" w:pos="2160"/>
          <w:tab w:val="left" w:pos="2880"/>
          <w:tab w:val="left" w:pos="3600"/>
          <w:tab w:val="left" w:pos="4320"/>
          <w:tab w:val="left" w:pos="5040"/>
          <w:tab w:val="left" w:pos="5760"/>
          <w:tab w:val="left" w:pos="6336"/>
        </w:tabs>
        <w:ind w:left="1440" w:right="720" w:firstLine="0"/>
        <w:rPr>
          <w:b/>
          <w:bCs/>
          <w:sz w:val="28"/>
          <w:szCs w:val="28"/>
        </w:rPr>
      </w:pPr>
      <w:r w:rsidRPr="00B84041">
        <w:rPr>
          <w:b/>
          <w:bCs/>
          <w:sz w:val="28"/>
          <w:szCs w:val="28"/>
        </w:rPr>
        <w:t xml:space="preserve"> </w:t>
      </w:r>
      <w:r w:rsidR="002F7D3F" w:rsidRPr="00B84041">
        <w:rPr>
          <w:b/>
          <w:bCs/>
          <w:sz w:val="28"/>
          <w:szCs w:val="28"/>
        </w:rPr>
        <w:t>made by a person in a relationship of privity with the party and the statement concerns the party’s and the person’s joint interest.</w:t>
      </w:r>
    </w:p>
    <w:p w14:paraId="1CB639EF" w14:textId="77777777" w:rsidR="00A835D7" w:rsidRPr="00B84041" w:rsidRDefault="00A835D7" w:rsidP="00404BFC">
      <w:pPr>
        <w:rPr>
          <w:b/>
          <w:bCs/>
          <w:sz w:val="28"/>
          <w:szCs w:val="28"/>
        </w:rPr>
      </w:pPr>
    </w:p>
    <w:p w14:paraId="2EB15782" w14:textId="702BA6C8" w:rsidR="00704414" w:rsidRPr="00B84041" w:rsidRDefault="00704414" w:rsidP="00404BFC">
      <w:pPr>
        <w:pStyle w:val="L3-1"/>
        <w:widowControl/>
        <w:tabs>
          <w:tab w:val="left" w:pos="2160"/>
          <w:tab w:val="left" w:pos="2880"/>
          <w:tab w:val="left" w:pos="3600"/>
          <w:tab w:val="left" w:pos="4320"/>
          <w:tab w:val="left" w:pos="5040"/>
          <w:tab w:val="left" w:pos="5760"/>
          <w:tab w:val="left" w:pos="6336"/>
        </w:tabs>
        <w:ind w:left="720" w:right="720" w:firstLine="0"/>
        <w:rPr>
          <w:b/>
          <w:bCs/>
          <w:sz w:val="28"/>
          <w:szCs w:val="28"/>
        </w:rPr>
      </w:pPr>
      <w:r w:rsidRPr="00B84041">
        <w:rPr>
          <w:b/>
          <w:bCs/>
          <w:sz w:val="28"/>
          <w:szCs w:val="28"/>
        </w:rPr>
        <w:t xml:space="preserve">(2) </w:t>
      </w:r>
      <w:r w:rsidR="005D1CDD" w:rsidRPr="00B84041">
        <w:rPr>
          <w:b/>
          <w:bCs/>
          <w:sz w:val="28"/>
          <w:szCs w:val="28"/>
        </w:rPr>
        <w:t>A</w:t>
      </w:r>
      <w:r w:rsidR="00AB34D6" w:rsidRPr="00B84041">
        <w:rPr>
          <w:b/>
          <w:bCs/>
          <w:sz w:val="28"/>
          <w:szCs w:val="28"/>
          <w:lang w:val="x-none"/>
        </w:rPr>
        <w:t xml:space="preserve"> statement</w:t>
      </w:r>
      <w:r w:rsidR="00AB34D6" w:rsidRPr="00B84041">
        <w:rPr>
          <w:b/>
          <w:bCs/>
          <w:sz w:val="28"/>
          <w:szCs w:val="28"/>
        </w:rPr>
        <w:t xml:space="preserve"> offered</w:t>
      </w:r>
      <w:r w:rsidR="00AB34D6" w:rsidRPr="00B84041">
        <w:rPr>
          <w:b/>
          <w:bCs/>
          <w:sz w:val="28"/>
          <w:szCs w:val="28"/>
          <w:lang w:val="x-none"/>
        </w:rPr>
        <w:t xml:space="preserve"> against an opposing party shall not be excluded from evidence as</w:t>
      </w:r>
      <w:r w:rsidR="00AB34D6" w:rsidRPr="00B84041">
        <w:rPr>
          <w:b/>
          <w:bCs/>
          <w:sz w:val="28"/>
          <w:szCs w:val="28"/>
        </w:rPr>
        <w:t xml:space="preserve"> </w:t>
      </w:r>
      <w:r w:rsidR="00AB34D6" w:rsidRPr="00B84041">
        <w:rPr>
          <w:b/>
          <w:bCs/>
          <w:sz w:val="28"/>
          <w:szCs w:val="28"/>
          <w:lang w:val="x-none"/>
        </w:rPr>
        <w:t>hearsay if made by</w:t>
      </w:r>
      <w:r w:rsidR="000C3520" w:rsidRPr="00B84041">
        <w:rPr>
          <w:b/>
          <w:bCs/>
          <w:sz w:val="28"/>
          <w:szCs w:val="28"/>
        </w:rPr>
        <w:t xml:space="preserve"> </w:t>
      </w:r>
      <w:r w:rsidR="00581049" w:rsidRPr="00B84041">
        <w:rPr>
          <w:b/>
          <w:bCs/>
          <w:sz w:val="28"/>
          <w:szCs w:val="28"/>
        </w:rPr>
        <w:t>[</w:t>
      </w:r>
      <w:r w:rsidR="00773BD3" w:rsidRPr="00B84041">
        <w:rPr>
          <w:b/>
          <w:bCs/>
          <w:sz w:val="28"/>
          <w:szCs w:val="28"/>
        </w:rPr>
        <w:t>a</w:t>
      </w:r>
      <w:r w:rsidR="00581049" w:rsidRPr="00B84041">
        <w:rPr>
          <w:b/>
          <w:bCs/>
          <w:sz w:val="28"/>
          <w:szCs w:val="28"/>
        </w:rPr>
        <w:t>]</w:t>
      </w:r>
      <w:r w:rsidR="00773BD3" w:rsidRPr="00B84041">
        <w:rPr>
          <w:b/>
          <w:bCs/>
          <w:sz w:val="28"/>
          <w:szCs w:val="28"/>
        </w:rPr>
        <w:t xml:space="preserve"> </w:t>
      </w:r>
      <w:r w:rsidR="00AB34D6" w:rsidRPr="00B84041">
        <w:rPr>
          <w:b/>
          <w:bCs/>
          <w:sz w:val="28"/>
          <w:szCs w:val="28"/>
          <w:lang w:val="x-none"/>
        </w:rPr>
        <w:t>a person whom the opposing party authorized to make a</w:t>
      </w:r>
      <w:r w:rsidR="00AB34D6" w:rsidRPr="00B84041">
        <w:rPr>
          <w:b/>
          <w:bCs/>
          <w:sz w:val="28"/>
          <w:szCs w:val="28"/>
        </w:rPr>
        <w:t xml:space="preserve"> </w:t>
      </w:r>
      <w:r w:rsidR="00AB34D6" w:rsidRPr="00B84041">
        <w:rPr>
          <w:b/>
          <w:bCs/>
          <w:sz w:val="28"/>
          <w:szCs w:val="28"/>
          <w:lang w:val="x-none"/>
        </w:rPr>
        <w:t xml:space="preserve">statement on the subject or </w:t>
      </w:r>
      <w:r w:rsidR="00581049" w:rsidRPr="00B84041">
        <w:rPr>
          <w:b/>
          <w:bCs/>
          <w:sz w:val="28"/>
          <w:szCs w:val="28"/>
        </w:rPr>
        <w:t>[</w:t>
      </w:r>
      <w:r w:rsidR="004B0E50" w:rsidRPr="00B84041">
        <w:rPr>
          <w:b/>
          <w:bCs/>
          <w:sz w:val="28"/>
          <w:szCs w:val="28"/>
        </w:rPr>
        <w:t>b</w:t>
      </w:r>
      <w:r w:rsidR="00581049" w:rsidRPr="00B84041">
        <w:rPr>
          <w:b/>
          <w:bCs/>
          <w:sz w:val="28"/>
          <w:szCs w:val="28"/>
        </w:rPr>
        <w:t>]</w:t>
      </w:r>
      <w:r w:rsidR="00773BD3" w:rsidRPr="00B84041">
        <w:rPr>
          <w:b/>
          <w:bCs/>
          <w:sz w:val="28"/>
          <w:szCs w:val="28"/>
        </w:rPr>
        <w:t xml:space="preserve"> </w:t>
      </w:r>
      <w:r w:rsidR="00AB34D6" w:rsidRPr="00B84041">
        <w:rPr>
          <w:b/>
          <w:bCs/>
          <w:sz w:val="28"/>
          <w:szCs w:val="28"/>
          <w:lang w:val="x-none"/>
        </w:rPr>
        <w:t>by the opposing party</w:t>
      </w:r>
      <w:r w:rsidR="00931F11" w:rsidRPr="00B84041">
        <w:rPr>
          <w:b/>
          <w:bCs/>
          <w:sz w:val="28"/>
          <w:szCs w:val="28"/>
        </w:rPr>
        <w:t>’</w:t>
      </w:r>
      <w:r w:rsidR="00AB34D6" w:rsidRPr="00B84041">
        <w:rPr>
          <w:b/>
          <w:bCs/>
          <w:sz w:val="28"/>
          <w:szCs w:val="28"/>
          <w:lang w:val="x-none"/>
        </w:rPr>
        <w:t>s agent or employee on</w:t>
      </w:r>
      <w:r w:rsidR="00AB34D6" w:rsidRPr="00B84041">
        <w:rPr>
          <w:b/>
          <w:bCs/>
          <w:sz w:val="28"/>
          <w:szCs w:val="28"/>
        </w:rPr>
        <w:t xml:space="preserve"> </w:t>
      </w:r>
      <w:r w:rsidR="00AB34D6" w:rsidRPr="00B84041">
        <w:rPr>
          <w:b/>
          <w:bCs/>
          <w:sz w:val="28"/>
          <w:szCs w:val="28"/>
          <w:lang w:val="x-none"/>
        </w:rPr>
        <w:t>a matter within the scope of that relationship and during the existence</w:t>
      </w:r>
      <w:r w:rsidR="00AB34D6" w:rsidRPr="00B84041">
        <w:rPr>
          <w:b/>
          <w:bCs/>
          <w:sz w:val="28"/>
          <w:szCs w:val="28"/>
        </w:rPr>
        <w:t xml:space="preserve"> </w:t>
      </w:r>
      <w:r w:rsidR="00AB34D6" w:rsidRPr="00B84041">
        <w:rPr>
          <w:b/>
          <w:bCs/>
          <w:sz w:val="28"/>
          <w:szCs w:val="28"/>
          <w:lang w:val="x-none"/>
        </w:rPr>
        <w:t>of that relationship.</w:t>
      </w:r>
      <w:bookmarkStart w:id="0" w:name="_Hlk95923080"/>
    </w:p>
    <w:p w14:paraId="3F3E2C5E" w14:textId="77777777" w:rsidR="00704414" w:rsidRPr="00B84041" w:rsidRDefault="00704414" w:rsidP="00404BFC">
      <w:pPr>
        <w:pStyle w:val="L3-1"/>
        <w:widowControl/>
        <w:tabs>
          <w:tab w:val="left" w:pos="2160"/>
          <w:tab w:val="left" w:pos="2880"/>
          <w:tab w:val="left" w:pos="3600"/>
          <w:tab w:val="left" w:pos="4320"/>
          <w:tab w:val="left" w:pos="5040"/>
          <w:tab w:val="left" w:pos="5760"/>
          <w:tab w:val="left" w:pos="6336"/>
        </w:tabs>
        <w:ind w:left="0" w:right="720" w:firstLine="0"/>
        <w:rPr>
          <w:b/>
          <w:bCs/>
          <w:sz w:val="28"/>
          <w:szCs w:val="28"/>
        </w:rPr>
      </w:pPr>
    </w:p>
    <w:p w14:paraId="0E0708EE" w14:textId="7903E323" w:rsidR="000B717B" w:rsidRPr="00B84041" w:rsidRDefault="00675234" w:rsidP="00404BFC">
      <w:pPr>
        <w:pStyle w:val="L3-1"/>
        <w:widowControl/>
        <w:tabs>
          <w:tab w:val="left" w:pos="2160"/>
          <w:tab w:val="left" w:pos="2880"/>
          <w:tab w:val="left" w:pos="3600"/>
          <w:tab w:val="left" w:pos="4320"/>
          <w:tab w:val="left" w:pos="5040"/>
          <w:tab w:val="left" w:pos="5760"/>
          <w:tab w:val="left" w:pos="6336"/>
        </w:tabs>
        <w:ind w:left="720" w:right="720" w:firstLine="0"/>
        <w:rPr>
          <w:b/>
          <w:bCs/>
          <w:sz w:val="28"/>
          <w:szCs w:val="28"/>
        </w:rPr>
      </w:pPr>
      <w:r w:rsidRPr="00B84041">
        <w:rPr>
          <w:b/>
          <w:bCs/>
          <w:sz w:val="28"/>
          <w:szCs w:val="28"/>
        </w:rPr>
        <w:t xml:space="preserve">The required authorization may be expressly given by the party or implied from the scope of the agent’s </w:t>
      </w:r>
      <w:r w:rsidR="00442568" w:rsidRPr="00B84041">
        <w:rPr>
          <w:b/>
          <w:bCs/>
          <w:sz w:val="28"/>
          <w:szCs w:val="28"/>
        </w:rPr>
        <w:t xml:space="preserve">or employee’s </w:t>
      </w:r>
      <w:r w:rsidRPr="00B84041">
        <w:rPr>
          <w:b/>
          <w:bCs/>
          <w:sz w:val="28"/>
          <w:szCs w:val="28"/>
        </w:rPr>
        <w:t>duties or employment.</w:t>
      </w:r>
      <w:bookmarkStart w:id="1" w:name="_Hlk95841629"/>
      <w:bookmarkEnd w:id="0"/>
      <w:r w:rsidR="00753320" w:rsidRPr="00B84041">
        <w:rPr>
          <w:b/>
          <w:bCs/>
          <w:sz w:val="28"/>
          <w:szCs w:val="28"/>
        </w:rPr>
        <w:t xml:space="preserve"> </w:t>
      </w:r>
      <w:r w:rsidR="00C24865" w:rsidRPr="00B84041">
        <w:rPr>
          <w:b/>
          <w:bCs/>
          <w:sz w:val="28"/>
          <w:szCs w:val="28"/>
        </w:rPr>
        <w:t xml:space="preserve">The statement cannot be used as proof </w:t>
      </w:r>
      <w:r w:rsidR="00C24865" w:rsidRPr="00B84041">
        <w:rPr>
          <w:b/>
          <w:sz w:val="28"/>
          <w:szCs w:val="28"/>
        </w:rPr>
        <w:t>of the agency or employment relationship, or the claimed authority to make the statement, or the scope of the agency or employment relationship</w:t>
      </w:r>
      <w:r w:rsidR="00B45B62" w:rsidRPr="00B84041">
        <w:rPr>
          <w:b/>
          <w:sz w:val="28"/>
          <w:szCs w:val="28"/>
        </w:rPr>
        <w:t>,</w:t>
      </w:r>
      <w:r w:rsidR="00C24865" w:rsidRPr="00B84041">
        <w:rPr>
          <w:b/>
          <w:sz w:val="28"/>
          <w:szCs w:val="28"/>
        </w:rPr>
        <w:t xml:space="preserve"> unless it is admissible under another exception.</w:t>
      </w:r>
      <w:bookmarkEnd w:id="1"/>
    </w:p>
    <w:p w14:paraId="16247821" w14:textId="77777777" w:rsidR="000B717B" w:rsidRPr="00B84041" w:rsidRDefault="000B717B" w:rsidP="00404BFC">
      <w:pPr>
        <w:pStyle w:val="NoSpacing"/>
        <w:widowControl/>
        <w:numPr>
          <w:ilvl w:val="12"/>
          <w:numId w:val="0"/>
        </w:numPr>
        <w:tabs>
          <w:tab w:val="left" w:pos="2880"/>
          <w:tab w:val="left" w:pos="3600"/>
          <w:tab w:val="left" w:pos="4320"/>
          <w:tab w:val="left" w:pos="5040"/>
          <w:tab w:val="left" w:pos="5760"/>
          <w:tab w:val="left" w:pos="6480"/>
          <w:tab w:val="left" w:pos="7198"/>
        </w:tabs>
        <w:ind w:right="720"/>
        <w:rPr>
          <w:rFonts w:ascii="Times New Roman" w:hAnsi="Times New Roman" w:cs="Times New Roman"/>
          <w:b/>
          <w:iCs/>
          <w:sz w:val="28"/>
          <w:szCs w:val="28"/>
        </w:rPr>
      </w:pPr>
    </w:p>
    <w:p w14:paraId="7A941015" w14:textId="4106025A" w:rsidR="002F7D3F" w:rsidRPr="00B84041" w:rsidRDefault="00391E08" w:rsidP="00404BFC">
      <w:pPr>
        <w:pStyle w:val="NoSpacing"/>
        <w:widowControl/>
        <w:numPr>
          <w:ilvl w:val="12"/>
          <w:numId w:val="0"/>
        </w:numPr>
        <w:tabs>
          <w:tab w:val="left" w:pos="2880"/>
          <w:tab w:val="left" w:pos="3600"/>
          <w:tab w:val="left" w:pos="4320"/>
          <w:tab w:val="left" w:pos="5040"/>
          <w:tab w:val="left" w:pos="5760"/>
          <w:tab w:val="left" w:pos="6480"/>
          <w:tab w:val="left" w:pos="7198"/>
        </w:tabs>
        <w:ind w:right="720"/>
        <w:jc w:val="center"/>
        <w:rPr>
          <w:rFonts w:ascii="Times New Roman" w:hAnsi="Times New Roman" w:cs="Times New Roman"/>
          <w:b/>
          <w:iCs/>
          <w:sz w:val="24"/>
          <w:szCs w:val="24"/>
        </w:rPr>
      </w:pPr>
      <w:r w:rsidRPr="00B84041">
        <w:rPr>
          <w:rFonts w:ascii="Times New Roman" w:hAnsi="Times New Roman" w:cs="Times New Roman"/>
          <w:b/>
          <w:iCs/>
          <w:sz w:val="24"/>
          <w:szCs w:val="24"/>
        </w:rPr>
        <w:t>Note</w:t>
      </w:r>
    </w:p>
    <w:p w14:paraId="1D39F190" w14:textId="77777777" w:rsidR="00391E08" w:rsidRPr="00B84041" w:rsidRDefault="00391E08" w:rsidP="00404BFC">
      <w:pPr>
        <w:pStyle w:val="NoSpacing"/>
        <w:widowControl/>
        <w:numPr>
          <w:ilvl w:val="12"/>
          <w:numId w:val="0"/>
        </w:numPr>
        <w:tabs>
          <w:tab w:val="left" w:pos="2880"/>
          <w:tab w:val="left" w:pos="3600"/>
          <w:tab w:val="left" w:pos="4320"/>
          <w:tab w:val="left" w:pos="5040"/>
          <w:tab w:val="left" w:pos="5760"/>
          <w:tab w:val="left" w:pos="6480"/>
          <w:tab w:val="left" w:pos="7198"/>
        </w:tabs>
        <w:ind w:right="720"/>
        <w:rPr>
          <w:rFonts w:ascii="Times New Roman" w:hAnsi="Times New Roman" w:cs="Times New Roman"/>
          <w:bCs/>
          <w:iCs/>
          <w:sz w:val="24"/>
          <w:szCs w:val="24"/>
        </w:rPr>
      </w:pPr>
    </w:p>
    <w:p w14:paraId="52F4E592" w14:textId="06B52C54" w:rsidR="002F7D3F" w:rsidRPr="00B84041" w:rsidRDefault="00391E08"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B84041">
        <w:rPr>
          <w:rFonts w:ascii="Times New Roman" w:hAnsi="Times New Roman" w:cs="Times New Roman"/>
          <w:b/>
          <w:sz w:val="24"/>
          <w:szCs w:val="24"/>
        </w:rPr>
        <w:tab/>
      </w:r>
      <w:r w:rsidR="002F7D3F" w:rsidRPr="00B84041">
        <w:rPr>
          <w:rFonts w:ascii="Times New Roman" w:hAnsi="Times New Roman" w:cs="Times New Roman"/>
          <w:b/>
          <w:sz w:val="24"/>
          <w:szCs w:val="24"/>
        </w:rPr>
        <w:t>Subdivision (1) (a)</w:t>
      </w:r>
      <w:r w:rsidR="002F7D3F" w:rsidRPr="00B84041">
        <w:rPr>
          <w:rFonts w:ascii="Times New Roman" w:hAnsi="Times New Roman" w:cs="Times New Roman"/>
          <w:sz w:val="24"/>
          <w:szCs w:val="24"/>
        </w:rPr>
        <w:t xml:space="preserve"> is derived from </w:t>
      </w:r>
      <w:r w:rsidR="002F7D3F" w:rsidRPr="00B84041">
        <w:rPr>
          <w:rFonts w:ascii="Times New Roman" w:hAnsi="Times New Roman" w:cs="Times New Roman"/>
          <w:i/>
          <w:iCs/>
          <w:sz w:val="24"/>
          <w:szCs w:val="24"/>
        </w:rPr>
        <w:t>Reed v McCord</w:t>
      </w:r>
      <w:r w:rsidR="00967BEE" w:rsidRPr="00B84041">
        <w:rPr>
          <w:rFonts w:ascii="Times New Roman" w:hAnsi="Times New Roman" w:cs="Times New Roman"/>
          <w:sz w:val="24"/>
          <w:szCs w:val="24"/>
        </w:rPr>
        <w:t xml:space="preserve"> (</w:t>
      </w:r>
      <w:r w:rsidR="002F7D3F" w:rsidRPr="00B84041">
        <w:rPr>
          <w:rFonts w:ascii="Times New Roman" w:hAnsi="Times New Roman" w:cs="Times New Roman"/>
          <w:sz w:val="24"/>
          <w:szCs w:val="24"/>
        </w:rPr>
        <w:t xml:space="preserve">160 NY 330, 341 [1899]) which held that “admissions by a party of any fact material to the issue are always competent evidence against him, wherever, whenever, or to whomsoever made.” </w:t>
      </w:r>
      <w:r w:rsidR="002F7D3F" w:rsidRPr="00B84041">
        <w:rPr>
          <w:rFonts w:ascii="Times New Roman" w:hAnsi="Times New Roman" w:cs="Times New Roman"/>
          <w:i/>
          <w:iCs/>
          <w:sz w:val="24"/>
          <w:szCs w:val="24"/>
        </w:rPr>
        <w:t>Reed</w:t>
      </w:r>
      <w:r w:rsidR="002F7D3F" w:rsidRPr="00B84041">
        <w:rPr>
          <w:rFonts w:ascii="Times New Roman" w:hAnsi="Times New Roman" w:cs="Times New Roman"/>
          <w:sz w:val="24"/>
          <w:szCs w:val="24"/>
        </w:rPr>
        <w:t xml:space="preserve"> further held that the absence of personal knowledge on the part of the </w:t>
      </w:r>
      <w:r w:rsidR="002F7D3F" w:rsidRPr="00B84041">
        <w:rPr>
          <w:rFonts w:ascii="Times New Roman" w:hAnsi="Times New Roman" w:cs="Times New Roman"/>
          <w:sz w:val="24"/>
          <w:szCs w:val="24"/>
        </w:rPr>
        <w:lastRenderedPageBreak/>
        <w:t>party making the statement does not preclude the statement’s admissibility under the admission’s exception</w:t>
      </w:r>
      <w:r w:rsidR="00AB40E3" w:rsidRPr="00B84041">
        <w:rPr>
          <w:rFonts w:ascii="Times New Roman" w:hAnsi="Times New Roman" w:cs="Times New Roman"/>
          <w:sz w:val="24"/>
          <w:szCs w:val="24"/>
        </w:rPr>
        <w:t>.</w:t>
      </w:r>
      <w:r w:rsidR="00320E88" w:rsidRPr="00B84041">
        <w:rPr>
          <w:rFonts w:ascii="Times New Roman" w:hAnsi="Times New Roman" w:cs="Times New Roman"/>
          <w:sz w:val="24"/>
          <w:szCs w:val="24"/>
        </w:rPr>
        <w:t xml:space="preserve"> </w:t>
      </w:r>
      <w:r w:rsidR="007B18AD" w:rsidRPr="00B84041">
        <w:rPr>
          <w:rFonts w:ascii="Times New Roman" w:hAnsi="Times New Roman" w:cs="Times New Roman"/>
          <w:sz w:val="24"/>
          <w:szCs w:val="24"/>
        </w:rPr>
        <w:t>(</w:t>
      </w:r>
      <w:r w:rsidR="002F7D3F" w:rsidRPr="00B84041">
        <w:rPr>
          <w:rFonts w:ascii="Times New Roman" w:hAnsi="Times New Roman" w:cs="Times New Roman"/>
          <w:i/>
          <w:iCs/>
          <w:sz w:val="24"/>
          <w:szCs w:val="24"/>
        </w:rPr>
        <w:t>See</w:t>
      </w:r>
      <w:r w:rsidR="002F7D3F" w:rsidRPr="00B84041">
        <w:rPr>
          <w:rFonts w:ascii="Times New Roman" w:hAnsi="Times New Roman" w:cs="Times New Roman"/>
          <w:sz w:val="24"/>
          <w:szCs w:val="24"/>
        </w:rPr>
        <w:t xml:space="preserve"> </w:t>
      </w:r>
      <w:r w:rsidR="002F7D3F" w:rsidRPr="00B84041">
        <w:rPr>
          <w:rFonts w:ascii="Times New Roman" w:hAnsi="Times New Roman" w:cs="Times New Roman"/>
          <w:i/>
          <w:iCs/>
          <w:sz w:val="24"/>
          <w:szCs w:val="24"/>
        </w:rPr>
        <w:t>Reed v McCord</w:t>
      </w:r>
      <w:r w:rsidR="002F7D3F" w:rsidRPr="00B84041">
        <w:rPr>
          <w:rFonts w:ascii="Times New Roman" w:hAnsi="Times New Roman" w:cs="Times New Roman"/>
          <w:sz w:val="24"/>
          <w:szCs w:val="24"/>
        </w:rPr>
        <w:t>, 160 NY at 341</w:t>
      </w:r>
      <w:r w:rsidR="00320E88" w:rsidRPr="00B84041">
        <w:rPr>
          <w:rFonts w:ascii="Times New Roman" w:hAnsi="Times New Roman" w:cs="Times New Roman"/>
          <w:sz w:val="24"/>
          <w:szCs w:val="24"/>
        </w:rPr>
        <w:t>.)</w:t>
      </w:r>
    </w:p>
    <w:p w14:paraId="1817FE17" w14:textId="77777777" w:rsidR="002F7D3F" w:rsidRPr="00B84041" w:rsidRDefault="002F7D3F"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iCs/>
          <w:sz w:val="24"/>
          <w:szCs w:val="24"/>
        </w:rPr>
      </w:pPr>
    </w:p>
    <w:p w14:paraId="6B7B68FB" w14:textId="6F724D7B" w:rsidR="002F7D3F" w:rsidRPr="00B84041" w:rsidRDefault="00391E08"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B84041">
        <w:rPr>
          <w:rFonts w:ascii="Times New Roman" w:hAnsi="Times New Roman" w:cs="Times New Roman"/>
          <w:sz w:val="24"/>
          <w:szCs w:val="24"/>
        </w:rPr>
        <w:tab/>
      </w:r>
      <w:r w:rsidR="002F7D3F" w:rsidRPr="00B84041">
        <w:rPr>
          <w:rFonts w:ascii="Times New Roman" w:hAnsi="Times New Roman" w:cs="Times New Roman"/>
          <w:sz w:val="24"/>
          <w:szCs w:val="24"/>
        </w:rPr>
        <w:t>Unlike Federal Rules of Evidence rule 801 (d) (2) (A), which permits a party’s statement to be admitted against the party in either the party’s individual or representative capacity, present New York law authorizes the use of a statement made by the party in a representative capacity to be admitted against the party only in that capacity</w:t>
      </w:r>
      <w:r w:rsidR="00AB40E3" w:rsidRPr="00B84041">
        <w:rPr>
          <w:rFonts w:ascii="Times New Roman" w:hAnsi="Times New Roman" w:cs="Times New Roman"/>
          <w:sz w:val="24"/>
          <w:szCs w:val="24"/>
        </w:rPr>
        <w:t xml:space="preserve">. </w:t>
      </w:r>
      <w:r w:rsidR="002F7D3F" w:rsidRPr="00B84041">
        <w:rPr>
          <w:rFonts w:ascii="Times New Roman" w:hAnsi="Times New Roman" w:cs="Times New Roman"/>
          <w:sz w:val="24"/>
          <w:szCs w:val="24"/>
        </w:rPr>
        <w:t>(</w:t>
      </w:r>
      <w:r w:rsidR="002F7D3F" w:rsidRPr="00B84041">
        <w:rPr>
          <w:rFonts w:ascii="Times New Roman" w:hAnsi="Times New Roman" w:cs="Times New Roman"/>
          <w:i/>
          <w:iCs/>
          <w:sz w:val="24"/>
          <w:szCs w:val="24"/>
        </w:rPr>
        <w:t>See</w:t>
      </w:r>
      <w:r w:rsidR="002F7D3F" w:rsidRPr="00B84041">
        <w:rPr>
          <w:rFonts w:ascii="Times New Roman" w:hAnsi="Times New Roman" w:cs="Times New Roman"/>
          <w:sz w:val="24"/>
          <w:szCs w:val="24"/>
        </w:rPr>
        <w:t xml:space="preserve"> </w:t>
      </w:r>
      <w:r w:rsidR="002F7D3F" w:rsidRPr="00B84041">
        <w:rPr>
          <w:rFonts w:ascii="Times New Roman" w:hAnsi="Times New Roman" w:cs="Times New Roman"/>
          <w:i/>
          <w:iCs/>
          <w:sz w:val="24"/>
          <w:szCs w:val="24"/>
        </w:rPr>
        <w:t xml:space="preserve">Commercial Trading Co. </w:t>
      </w:r>
      <w:proofErr w:type="gramStart"/>
      <w:r w:rsidR="002F7D3F" w:rsidRPr="00B84041">
        <w:rPr>
          <w:rFonts w:ascii="Times New Roman" w:hAnsi="Times New Roman" w:cs="Times New Roman"/>
          <w:i/>
          <w:iCs/>
          <w:sz w:val="24"/>
          <w:szCs w:val="24"/>
        </w:rPr>
        <w:t>v</w:t>
      </w:r>
      <w:proofErr w:type="gramEnd"/>
      <w:r w:rsidR="002F7D3F" w:rsidRPr="00B84041">
        <w:rPr>
          <w:rFonts w:ascii="Times New Roman" w:hAnsi="Times New Roman" w:cs="Times New Roman"/>
          <w:i/>
          <w:iCs/>
          <w:sz w:val="24"/>
          <w:szCs w:val="24"/>
        </w:rPr>
        <w:t xml:space="preserve"> Tucker</w:t>
      </w:r>
      <w:r w:rsidR="002F7D3F" w:rsidRPr="00B84041">
        <w:rPr>
          <w:rFonts w:ascii="Times New Roman" w:hAnsi="Times New Roman" w:cs="Times New Roman"/>
          <w:sz w:val="24"/>
          <w:szCs w:val="24"/>
        </w:rPr>
        <w:t>, 80 AD2d 779 [1st Dept 1981].)</w:t>
      </w:r>
    </w:p>
    <w:p w14:paraId="787760F6" w14:textId="77777777" w:rsidR="002F7D3F" w:rsidRPr="00B84041" w:rsidRDefault="002F7D3F"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iCs/>
          <w:sz w:val="24"/>
          <w:szCs w:val="24"/>
        </w:rPr>
      </w:pPr>
    </w:p>
    <w:p w14:paraId="16CFC045" w14:textId="74D0A195" w:rsidR="002F7D3F" w:rsidRPr="00B84041" w:rsidRDefault="00391E08"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B84041">
        <w:rPr>
          <w:rFonts w:ascii="Times New Roman" w:hAnsi="Times New Roman" w:cs="Times New Roman"/>
          <w:b/>
          <w:sz w:val="24"/>
          <w:szCs w:val="24"/>
        </w:rPr>
        <w:tab/>
      </w:r>
      <w:r w:rsidR="002F7D3F" w:rsidRPr="00B84041">
        <w:rPr>
          <w:rFonts w:ascii="Times New Roman" w:hAnsi="Times New Roman" w:cs="Times New Roman"/>
          <w:b/>
          <w:sz w:val="24"/>
          <w:szCs w:val="24"/>
        </w:rPr>
        <w:t>Subdivision (1) (b)</w:t>
      </w:r>
      <w:r w:rsidR="002F7D3F" w:rsidRPr="00B84041">
        <w:rPr>
          <w:rFonts w:ascii="Times New Roman" w:hAnsi="Times New Roman" w:cs="Times New Roman"/>
          <w:sz w:val="24"/>
          <w:szCs w:val="24"/>
        </w:rPr>
        <w:t xml:space="preserve"> is derived from a series of Court of Appeals decisions which adopted this privity-based admissions exception</w:t>
      </w:r>
      <w:r w:rsidR="00AB40E3" w:rsidRPr="00B84041">
        <w:rPr>
          <w:rFonts w:ascii="Times New Roman" w:hAnsi="Times New Roman" w:cs="Times New Roman"/>
          <w:sz w:val="24"/>
          <w:szCs w:val="24"/>
        </w:rPr>
        <w:t>.</w:t>
      </w:r>
      <w:r w:rsidR="004B0E50" w:rsidRPr="00B84041">
        <w:rPr>
          <w:rFonts w:ascii="Times New Roman" w:hAnsi="Times New Roman" w:cs="Times New Roman"/>
          <w:sz w:val="24"/>
          <w:szCs w:val="24"/>
        </w:rPr>
        <w:t xml:space="preserve"> (</w:t>
      </w:r>
      <w:r w:rsidR="002F7D3F" w:rsidRPr="00B84041">
        <w:rPr>
          <w:rFonts w:ascii="Times New Roman" w:hAnsi="Times New Roman" w:cs="Times New Roman"/>
          <w:i/>
          <w:iCs/>
          <w:sz w:val="24"/>
          <w:szCs w:val="24"/>
        </w:rPr>
        <w:t xml:space="preserve">See </w:t>
      </w:r>
      <w:proofErr w:type="gramStart"/>
      <w:r w:rsidR="002F7D3F" w:rsidRPr="00B84041">
        <w:rPr>
          <w:rFonts w:ascii="Times New Roman" w:hAnsi="Times New Roman" w:cs="Times New Roman"/>
          <w:i/>
          <w:iCs/>
          <w:sz w:val="24"/>
          <w:szCs w:val="24"/>
        </w:rPr>
        <w:t>e.g.</w:t>
      </w:r>
      <w:proofErr w:type="gramEnd"/>
      <w:r w:rsidR="002F7D3F" w:rsidRPr="00B84041">
        <w:rPr>
          <w:rFonts w:ascii="Times New Roman" w:hAnsi="Times New Roman" w:cs="Times New Roman"/>
          <w:i/>
          <w:iCs/>
          <w:sz w:val="24"/>
          <w:szCs w:val="24"/>
        </w:rPr>
        <w:t xml:space="preserve"> Murdock v Waterman</w:t>
      </w:r>
      <w:r w:rsidR="002F7D3F" w:rsidRPr="00B84041">
        <w:rPr>
          <w:rFonts w:ascii="Times New Roman" w:hAnsi="Times New Roman" w:cs="Times New Roman"/>
          <w:sz w:val="24"/>
          <w:szCs w:val="24"/>
        </w:rPr>
        <w:t xml:space="preserve">, 145 NY 55 [1895] [joint obligor]; </w:t>
      </w:r>
      <w:r w:rsidR="002F7D3F" w:rsidRPr="00B84041">
        <w:rPr>
          <w:rFonts w:ascii="Times New Roman" w:hAnsi="Times New Roman" w:cs="Times New Roman"/>
          <w:i/>
          <w:iCs/>
          <w:sz w:val="24"/>
          <w:szCs w:val="24"/>
        </w:rPr>
        <w:t>Chadwick v Fonner</w:t>
      </w:r>
      <w:r w:rsidR="002F7D3F" w:rsidRPr="00B84041">
        <w:rPr>
          <w:rFonts w:ascii="Times New Roman" w:hAnsi="Times New Roman" w:cs="Times New Roman"/>
          <w:sz w:val="24"/>
          <w:szCs w:val="24"/>
        </w:rPr>
        <w:t>, 69 NY 404 [1877] [grantor]</w:t>
      </w:r>
      <w:r w:rsidR="000954B4" w:rsidRPr="00B84041">
        <w:rPr>
          <w:rFonts w:ascii="Times New Roman" w:hAnsi="Times New Roman" w:cs="Times New Roman"/>
          <w:sz w:val="24"/>
          <w:szCs w:val="24"/>
        </w:rPr>
        <w:t xml:space="preserve">; </w:t>
      </w:r>
      <w:r w:rsidR="002F7D3F" w:rsidRPr="00B84041">
        <w:rPr>
          <w:rFonts w:ascii="Times New Roman" w:hAnsi="Times New Roman" w:cs="Times New Roman"/>
          <w:i/>
          <w:iCs/>
          <w:sz w:val="24"/>
          <w:szCs w:val="24"/>
        </w:rPr>
        <w:t>Hatch v Elkins</w:t>
      </w:r>
      <w:r w:rsidR="002F7D3F" w:rsidRPr="00B84041">
        <w:rPr>
          <w:rFonts w:ascii="Times New Roman" w:hAnsi="Times New Roman" w:cs="Times New Roman"/>
          <w:sz w:val="24"/>
          <w:szCs w:val="24"/>
        </w:rPr>
        <w:t>, 65 NY 489 [1875] [principal-surety].)</w:t>
      </w:r>
    </w:p>
    <w:p w14:paraId="3B0FD721" w14:textId="77777777" w:rsidR="002F7D3F" w:rsidRPr="00B84041" w:rsidRDefault="002F7D3F"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iCs/>
          <w:sz w:val="24"/>
          <w:szCs w:val="24"/>
        </w:rPr>
      </w:pPr>
    </w:p>
    <w:p w14:paraId="71FC10DC" w14:textId="6E96D51C" w:rsidR="00F46F34" w:rsidRPr="00B84041" w:rsidRDefault="00391E08" w:rsidP="00404BFC">
      <w:pPr>
        <w:pStyle w:val="NoSpacing"/>
        <w:rPr>
          <w:rFonts w:ascii="Times New Roman" w:hAnsi="Times New Roman" w:cs="Times New Roman"/>
          <w:bCs/>
          <w:sz w:val="24"/>
          <w:szCs w:val="24"/>
        </w:rPr>
      </w:pPr>
      <w:r w:rsidRPr="00B84041">
        <w:rPr>
          <w:rFonts w:ascii="Times New Roman" w:hAnsi="Times New Roman" w:cs="Times New Roman"/>
          <w:b/>
          <w:sz w:val="24"/>
          <w:szCs w:val="24"/>
        </w:rPr>
        <w:tab/>
      </w:r>
      <w:r w:rsidR="003338E5" w:rsidRPr="00B84041">
        <w:rPr>
          <w:rFonts w:ascii="Times New Roman" w:hAnsi="Times New Roman" w:cs="Times New Roman"/>
          <w:b/>
          <w:sz w:val="24"/>
          <w:szCs w:val="24"/>
        </w:rPr>
        <w:t>Subdivision (</w:t>
      </w:r>
      <w:r w:rsidR="008B1A42" w:rsidRPr="00B84041">
        <w:rPr>
          <w:rFonts w:ascii="Times New Roman" w:hAnsi="Times New Roman" w:cs="Times New Roman"/>
          <w:b/>
          <w:sz w:val="24"/>
          <w:szCs w:val="24"/>
        </w:rPr>
        <w:t>2</w:t>
      </w:r>
      <w:r w:rsidR="003338E5" w:rsidRPr="00B84041">
        <w:rPr>
          <w:rFonts w:ascii="Times New Roman" w:hAnsi="Times New Roman" w:cs="Times New Roman"/>
          <w:b/>
          <w:sz w:val="24"/>
          <w:szCs w:val="24"/>
        </w:rPr>
        <w:t>)</w:t>
      </w:r>
      <w:r w:rsidR="008B1A42" w:rsidRPr="00B84041">
        <w:rPr>
          <w:rFonts w:ascii="Times New Roman" w:hAnsi="Times New Roman" w:cs="Times New Roman"/>
          <w:b/>
          <w:sz w:val="24"/>
          <w:szCs w:val="24"/>
        </w:rPr>
        <w:t xml:space="preserve"> </w:t>
      </w:r>
      <w:r w:rsidR="00BE1F83" w:rsidRPr="00B84041">
        <w:rPr>
          <w:rFonts w:ascii="Times New Roman" w:hAnsi="Times New Roman" w:cs="Times New Roman"/>
          <w:bCs/>
          <w:sz w:val="24"/>
          <w:szCs w:val="24"/>
        </w:rPr>
        <w:t>contains three sentences.</w:t>
      </w:r>
      <w:r w:rsidR="004B0E50" w:rsidRPr="00B84041">
        <w:rPr>
          <w:rFonts w:ascii="Times New Roman" w:hAnsi="Times New Roman" w:cs="Times New Roman"/>
          <w:bCs/>
          <w:sz w:val="24"/>
          <w:szCs w:val="24"/>
        </w:rPr>
        <w:t xml:space="preserve"> </w:t>
      </w:r>
      <w:r w:rsidR="00BE1F83" w:rsidRPr="00B84041">
        <w:rPr>
          <w:rFonts w:ascii="Times New Roman" w:hAnsi="Times New Roman" w:cs="Times New Roman"/>
          <w:bCs/>
          <w:sz w:val="24"/>
          <w:szCs w:val="24"/>
        </w:rPr>
        <w:t>The</w:t>
      </w:r>
      <w:r w:rsidR="00B93188" w:rsidRPr="00B84041">
        <w:rPr>
          <w:rFonts w:ascii="Times New Roman" w:hAnsi="Times New Roman" w:cs="Times New Roman"/>
          <w:bCs/>
          <w:sz w:val="24"/>
          <w:szCs w:val="24"/>
        </w:rPr>
        <w:t xml:space="preserve"> first sentence</w:t>
      </w:r>
      <w:r w:rsidR="007446D2" w:rsidRPr="00B84041">
        <w:rPr>
          <w:rFonts w:ascii="Times New Roman" w:hAnsi="Times New Roman" w:cs="Times New Roman"/>
          <w:b/>
          <w:sz w:val="24"/>
          <w:szCs w:val="24"/>
        </w:rPr>
        <w:t xml:space="preserve"> </w:t>
      </w:r>
      <w:r w:rsidR="0022291E" w:rsidRPr="00B84041">
        <w:rPr>
          <w:rFonts w:ascii="Times New Roman" w:hAnsi="Times New Roman" w:cs="Times New Roman"/>
          <w:sz w:val="24"/>
          <w:szCs w:val="24"/>
        </w:rPr>
        <w:t xml:space="preserve">restates verbatim CPLR 4549 </w:t>
      </w:r>
      <w:r w:rsidR="0007122C" w:rsidRPr="00B84041">
        <w:rPr>
          <w:rFonts w:ascii="Times New Roman" w:hAnsi="Times New Roman" w:cs="Times New Roman"/>
          <w:sz w:val="24"/>
          <w:szCs w:val="24"/>
        </w:rPr>
        <w:t>(</w:t>
      </w:r>
      <w:r w:rsidR="0022291E" w:rsidRPr="00B84041">
        <w:rPr>
          <w:rFonts w:ascii="Times New Roman" w:hAnsi="Times New Roman" w:cs="Times New Roman"/>
          <w:sz w:val="24"/>
          <w:szCs w:val="24"/>
        </w:rPr>
        <w:t xml:space="preserve">enacted by L 2021, </w:t>
      </w:r>
      <w:proofErr w:type="spellStart"/>
      <w:r w:rsidR="0022291E" w:rsidRPr="00B84041">
        <w:rPr>
          <w:rFonts w:ascii="Times New Roman" w:hAnsi="Times New Roman" w:cs="Times New Roman"/>
          <w:sz w:val="24"/>
          <w:szCs w:val="24"/>
        </w:rPr>
        <w:t>ch</w:t>
      </w:r>
      <w:proofErr w:type="spellEnd"/>
      <w:r w:rsidR="0022291E" w:rsidRPr="00B84041">
        <w:rPr>
          <w:rFonts w:ascii="Times New Roman" w:hAnsi="Times New Roman" w:cs="Times New Roman"/>
          <w:sz w:val="24"/>
          <w:szCs w:val="24"/>
        </w:rPr>
        <w:t xml:space="preserve"> 833</w:t>
      </w:r>
      <w:r w:rsidR="0007122C" w:rsidRPr="00B84041">
        <w:rPr>
          <w:rFonts w:ascii="Times New Roman" w:hAnsi="Times New Roman" w:cs="Times New Roman"/>
          <w:sz w:val="24"/>
          <w:szCs w:val="24"/>
        </w:rPr>
        <w:t xml:space="preserve">), </w:t>
      </w:r>
      <w:r w:rsidR="0007122C" w:rsidRPr="00B84041">
        <w:rPr>
          <w:rFonts w:ascii="Times New Roman" w:hAnsi="Times New Roman" w:cs="Times New Roman"/>
          <w:bCs/>
          <w:sz w:val="24"/>
          <w:szCs w:val="24"/>
        </w:rPr>
        <w:t xml:space="preserve">except for the insertion of paragraph </w:t>
      </w:r>
      <w:r w:rsidR="00870E6C" w:rsidRPr="00B84041">
        <w:rPr>
          <w:rFonts w:ascii="Times New Roman" w:hAnsi="Times New Roman" w:cs="Times New Roman"/>
          <w:bCs/>
          <w:sz w:val="24"/>
          <w:szCs w:val="24"/>
        </w:rPr>
        <w:t>letters</w:t>
      </w:r>
      <w:r w:rsidR="009E3DC1" w:rsidRPr="00B84041">
        <w:rPr>
          <w:rFonts w:ascii="Times New Roman" w:hAnsi="Times New Roman" w:cs="Times New Roman"/>
          <w:bCs/>
          <w:sz w:val="24"/>
          <w:szCs w:val="24"/>
        </w:rPr>
        <w:t xml:space="preserve">, and </w:t>
      </w:r>
      <w:r w:rsidR="003C4D5E" w:rsidRPr="00B84041">
        <w:rPr>
          <w:rFonts w:ascii="Times New Roman" w:hAnsi="Times New Roman" w:cs="Times New Roman"/>
          <w:sz w:val="24"/>
          <w:szCs w:val="24"/>
        </w:rPr>
        <w:t>sets forth two closely related hearsay exceptions for statements made by an agent or employee offered against the principal or agent</w:t>
      </w:r>
      <w:r w:rsidR="007446D2" w:rsidRPr="00B84041">
        <w:rPr>
          <w:rFonts w:ascii="Times New Roman" w:hAnsi="Times New Roman" w:cs="Times New Roman"/>
          <w:sz w:val="24"/>
          <w:szCs w:val="24"/>
        </w:rPr>
        <w:t xml:space="preserve">. </w:t>
      </w:r>
      <w:r w:rsidR="00A7012F" w:rsidRPr="00B84041">
        <w:rPr>
          <w:rFonts w:ascii="Times New Roman" w:hAnsi="Times New Roman" w:cs="Times New Roman"/>
          <w:sz w:val="24"/>
          <w:szCs w:val="24"/>
        </w:rPr>
        <w:t xml:space="preserve">When the agent’s or employee’s statement is admitted under either of the exceptions, the statement </w:t>
      </w:r>
      <w:r w:rsidR="00F46F34" w:rsidRPr="00B84041">
        <w:rPr>
          <w:rFonts w:ascii="Times New Roman" w:hAnsi="Times New Roman" w:cs="Times New Roman"/>
          <w:sz w:val="24"/>
          <w:szCs w:val="24"/>
        </w:rPr>
        <w:t>is</w:t>
      </w:r>
      <w:r w:rsidR="00A7012F" w:rsidRPr="00B84041">
        <w:rPr>
          <w:rFonts w:ascii="Times New Roman" w:hAnsi="Times New Roman" w:cs="Times New Roman"/>
          <w:bCs/>
          <w:sz w:val="24"/>
          <w:szCs w:val="24"/>
        </w:rPr>
        <w:t xml:space="preserve"> treated as</w:t>
      </w:r>
      <w:r w:rsidR="003362F9" w:rsidRPr="00B84041">
        <w:rPr>
          <w:rFonts w:ascii="Times New Roman" w:hAnsi="Times New Roman" w:cs="Times New Roman"/>
          <w:bCs/>
          <w:sz w:val="24"/>
          <w:szCs w:val="24"/>
        </w:rPr>
        <w:t xml:space="preserve"> a party’s</w:t>
      </w:r>
      <w:r w:rsidR="00F46F34" w:rsidRPr="00B84041">
        <w:rPr>
          <w:rFonts w:ascii="Times New Roman" w:hAnsi="Times New Roman" w:cs="Times New Roman"/>
          <w:bCs/>
          <w:sz w:val="24"/>
          <w:szCs w:val="24"/>
        </w:rPr>
        <w:t xml:space="preserve"> </w:t>
      </w:r>
      <w:r w:rsidR="00A7012F" w:rsidRPr="00B84041">
        <w:rPr>
          <w:rFonts w:ascii="Times New Roman" w:hAnsi="Times New Roman" w:cs="Times New Roman"/>
          <w:bCs/>
          <w:sz w:val="24"/>
          <w:szCs w:val="24"/>
        </w:rPr>
        <w:t xml:space="preserve">admission </w:t>
      </w:r>
      <w:r w:rsidR="007938F5" w:rsidRPr="00B84041">
        <w:rPr>
          <w:rFonts w:ascii="Times New Roman" w:hAnsi="Times New Roman" w:cs="Times New Roman"/>
          <w:bCs/>
          <w:sz w:val="24"/>
          <w:szCs w:val="24"/>
        </w:rPr>
        <w:t>(</w:t>
      </w:r>
      <w:r w:rsidR="00B515F2" w:rsidRPr="00B84041">
        <w:rPr>
          <w:rFonts w:ascii="Times New Roman" w:hAnsi="Times New Roman" w:cs="Times New Roman"/>
          <w:bCs/>
          <w:i/>
          <w:iCs/>
          <w:sz w:val="24"/>
          <w:szCs w:val="24"/>
        </w:rPr>
        <w:t>s</w:t>
      </w:r>
      <w:r w:rsidR="003D48F7" w:rsidRPr="00B84041">
        <w:rPr>
          <w:rFonts w:ascii="Times New Roman" w:hAnsi="Times New Roman" w:cs="Times New Roman"/>
          <w:bCs/>
          <w:i/>
          <w:iCs/>
          <w:sz w:val="24"/>
          <w:szCs w:val="24"/>
        </w:rPr>
        <w:t xml:space="preserve">ee </w:t>
      </w:r>
      <w:r w:rsidR="003D48F7" w:rsidRPr="00B84041">
        <w:rPr>
          <w:rFonts w:ascii="Times New Roman" w:hAnsi="Times New Roman" w:cs="Times New Roman"/>
          <w:bCs/>
          <w:sz w:val="24"/>
          <w:szCs w:val="24"/>
        </w:rPr>
        <w:t>Michael J. Hutter</w:t>
      </w:r>
      <w:r w:rsidR="00DF3A3C" w:rsidRPr="00B84041">
        <w:rPr>
          <w:rFonts w:ascii="Times New Roman" w:hAnsi="Times New Roman" w:cs="Times New Roman"/>
          <w:bCs/>
          <w:sz w:val="24"/>
          <w:szCs w:val="24"/>
        </w:rPr>
        <w:t xml:space="preserve">, </w:t>
      </w:r>
      <w:r w:rsidR="00CF0BD4" w:rsidRPr="00B84041">
        <w:rPr>
          <w:rFonts w:ascii="Times New Roman" w:hAnsi="Times New Roman" w:cs="Times New Roman"/>
          <w:bCs/>
          <w:i/>
          <w:iCs/>
          <w:sz w:val="24"/>
          <w:szCs w:val="24"/>
        </w:rPr>
        <w:t>New CPLR 4549:</w:t>
      </w:r>
      <w:r w:rsidR="00B515F2" w:rsidRPr="00B84041">
        <w:rPr>
          <w:rFonts w:ascii="Times New Roman" w:hAnsi="Times New Roman" w:cs="Times New Roman"/>
          <w:bCs/>
          <w:i/>
          <w:iCs/>
          <w:sz w:val="24"/>
          <w:szCs w:val="24"/>
        </w:rPr>
        <w:t xml:space="preserve"> </w:t>
      </w:r>
      <w:r w:rsidR="00CF0BD4" w:rsidRPr="00B84041">
        <w:rPr>
          <w:rFonts w:ascii="Times New Roman" w:hAnsi="Times New Roman" w:cs="Times New Roman"/>
          <w:bCs/>
          <w:i/>
          <w:iCs/>
          <w:sz w:val="24"/>
          <w:szCs w:val="24"/>
        </w:rPr>
        <w:t>Admissibility of Agent/Employee Statements</w:t>
      </w:r>
      <w:r w:rsidR="000C3520" w:rsidRPr="00B84041">
        <w:rPr>
          <w:rFonts w:ascii="Times New Roman" w:hAnsi="Times New Roman" w:cs="Times New Roman"/>
          <w:bCs/>
          <w:i/>
          <w:iCs/>
          <w:sz w:val="24"/>
          <w:szCs w:val="24"/>
        </w:rPr>
        <w:t xml:space="preserve"> Against the Principal/Agent</w:t>
      </w:r>
      <w:r w:rsidR="00CF0BD4" w:rsidRPr="00B84041">
        <w:rPr>
          <w:rFonts w:ascii="Times New Roman" w:hAnsi="Times New Roman" w:cs="Times New Roman"/>
          <w:bCs/>
          <w:sz w:val="24"/>
          <w:szCs w:val="24"/>
        </w:rPr>
        <w:t>, NYLJ</w:t>
      </w:r>
      <w:r w:rsidR="00276E44" w:rsidRPr="00B84041">
        <w:rPr>
          <w:rFonts w:ascii="Times New Roman" w:hAnsi="Times New Roman" w:cs="Times New Roman"/>
          <w:bCs/>
          <w:sz w:val="24"/>
          <w:szCs w:val="24"/>
        </w:rPr>
        <w:t xml:space="preserve">, </w:t>
      </w:r>
      <w:r w:rsidR="00276E44" w:rsidRPr="00B84041">
        <w:rPr>
          <w:rFonts w:ascii="Times New Roman" w:hAnsi="Times New Roman" w:cs="Times New Roman"/>
          <w:bCs/>
          <w:sz w:val="24"/>
          <w:szCs w:val="24"/>
          <w:lang w:val="x-none"/>
        </w:rPr>
        <w:t>Feb</w:t>
      </w:r>
      <w:r w:rsidR="003362F9" w:rsidRPr="00B84041">
        <w:rPr>
          <w:rFonts w:ascii="Times New Roman" w:hAnsi="Times New Roman" w:cs="Times New Roman"/>
          <w:bCs/>
          <w:sz w:val="24"/>
          <w:szCs w:val="24"/>
        </w:rPr>
        <w:t>.</w:t>
      </w:r>
      <w:r w:rsidR="00276E44" w:rsidRPr="00B84041">
        <w:rPr>
          <w:rFonts w:ascii="Times New Roman" w:hAnsi="Times New Roman" w:cs="Times New Roman"/>
          <w:bCs/>
          <w:sz w:val="24"/>
          <w:szCs w:val="24"/>
          <w:lang w:val="x-none"/>
        </w:rPr>
        <w:t xml:space="preserve"> 16, </w:t>
      </w:r>
      <w:proofErr w:type="gramStart"/>
      <w:r w:rsidR="00276E44" w:rsidRPr="00B84041">
        <w:rPr>
          <w:rFonts w:ascii="Times New Roman" w:hAnsi="Times New Roman" w:cs="Times New Roman"/>
          <w:bCs/>
          <w:sz w:val="24"/>
          <w:szCs w:val="24"/>
          <w:lang w:val="x-none"/>
        </w:rPr>
        <w:t>2022</w:t>
      </w:r>
      <w:proofErr w:type="gramEnd"/>
      <w:r w:rsidR="000C3520" w:rsidRPr="00B84041">
        <w:rPr>
          <w:rFonts w:ascii="Times New Roman" w:hAnsi="Times New Roman" w:cs="Times New Roman"/>
          <w:bCs/>
          <w:sz w:val="24"/>
          <w:szCs w:val="24"/>
        </w:rPr>
        <w:t xml:space="preserve"> at </w:t>
      </w:r>
      <w:r w:rsidR="000C3520" w:rsidRPr="00B84041">
        <w:rPr>
          <w:rFonts w:ascii="Times New Roman" w:hAnsi="Times New Roman" w:cs="Times New Roman"/>
          <w:bCs/>
          <w:sz w:val="24"/>
          <w:szCs w:val="24"/>
          <w:lang w:val="x-none"/>
        </w:rPr>
        <w:t>3, col 1</w:t>
      </w:r>
      <w:r w:rsidR="007938F5" w:rsidRPr="00B84041">
        <w:rPr>
          <w:rFonts w:ascii="Times New Roman" w:hAnsi="Times New Roman" w:cs="Times New Roman"/>
          <w:bCs/>
          <w:sz w:val="24"/>
          <w:szCs w:val="24"/>
        </w:rPr>
        <w:t>).</w:t>
      </w:r>
    </w:p>
    <w:p w14:paraId="52E315AA" w14:textId="77777777" w:rsidR="00F46F34" w:rsidRPr="00B84041" w:rsidRDefault="00F46F34" w:rsidP="00404BFC">
      <w:pPr>
        <w:pStyle w:val="NoSpacing"/>
        <w:rPr>
          <w:rFonts w:ascii="Times New Roman" w:hAnsi="Times New Roman" w:cs="Times New Roman"/>
          <w:sz w:val="24"/>
          <w:szCs w:val="24"/>
        </w:rPr>
      </w:pPr>
    </w:p>
    <w:p w14:paraId="60E480B2" w14:textId="1DD19130" w:rsidR="003C4D5E" w:rsidRPr="00B84041" w:rsidRDefault="00404BFC" w:rsidP="00404BFC">
      <w:pPr>
        <w:pStyle w:val="NoSpacing"/>
        <w:tabs>
          <w:tab w:val="left" w:pos="720"/>
        </w:tabs>
        <w:rPr>
          <w:rFonts w:ascii="Times New Roman" w:hAnsi="Times New Roman" w:cs="Times New Roman"/>
          <w:b/>
          <w:sz w:val="24"/>
          <w:szCs w:val="24"/>
        </w:rPr>
      </w:pPr>
      <w:r w:rsidRPr="00B84041">
        <w:rPr>
          <w:rFonts w:ascii="Times New Roman" w:hAnsi="Times New Roman" w:cs="Times New Roman"/>
          <w:sz w:val="24"/>
          <w:szCs w:val="24"/>
        </w:rPr>
        <w:tab/>
      </w:r>
      <w:r w:rsidR="000C3520" w:rsidRPr="00B84041">
        <w:rPr>
          <w:rFonts w:ascii="Times New Roman" w:hAnsi="Times New Roman" w:cs="Times New Roman"/>
          <w:sz w:val="24"/>
          <w:szCs w:val="24"/>
        </w:rPr>
        <w:t>P</w:t>
      </w:r>
      <w:r w:rsidR="007446D2" w:rsidRPr="00B84041">
        <w:rPr>
          <w:rFonts w:ascii="Times New Roman" w:hAnsi="Times New Roman" w:cs="Times New Roman"/>
          <w:sz w:val="24"/>
          <w:szCs w:val="24"/>
        </w:rPr>
        <w:t>aragraph (</w:t>
      </w:r>
      <w:r w:rsidR="00870E6C" w:rsidRPr="00B84041">
        <w:rPr>
          <w:rFonts w:ascii="Times New Roman" w:hAnsi="Times New Roman" w:cs="Times New Roman"/>
          <w:sz w:val="24"/>
          <w:szCs w:val="24"/>
        </w:rPr>
        <w:t>a</w:t>
      </w:r>
      <w:r w:rsidR="007446D2" w:rsidRPr="00B84041">
        <w:rPr>
          <w:rFonts w:ascii="Times New Roman" w:hAnsi="Times New Roman" w:cs="Times New Roman"/>
          <w:sz w:val="24"/>
          <w:szCs w:val="24"/>
        </w:rPr>
        <w:t xml:space="preserve">) </w:t>
      </w:r>
      <w:r w:rsidR="00B93188" w:rsidRPr="00B84041">
        <w:rPr>
          <w:rFonts w:ascii="Times New Roman" w:hAnsi="Times New Roman" w:cs="Times New Roman"/>
          <w:sz w:val="24"/>
          <w:szCs w:val="24"/>
        </w:rPr>
        <w:t xml:space="preserve">of the first sentence </w:t>
      </w:r>
      <w:r w:rsidR="00D10B03" w:rsidRPr="00B84041">
        <w:rPr>
          <w:rFonts w:ascii="Times New Roman" w:hAnsi="Times New Roman" w:cs="Times New Roman"/>
          <w:sz w:val="24"/>
          <w:szCs w:val="24"/>
        </w:rPr>
        <w:t xml:space="preserve">codifies New York’s </w:t>
      </w:r>
      <w:r w:rsidR="00804C1E" w:rsidRPr="00B84041">
        <w:rPr>
          <w:rFonts w:ascii="Times New Roman" w:hAnsi="Times New Roman" w:cs="Times New Roman"/>
          <w:sz w:val="24"/>
          <w:szCs w:val="24"/>
        </w:rPr>
        <w:t xml:space="preserve">well established common law “speaking agent” exception, </w:t>
      </w:r>
      <w:r w:rsidR="003C4D5E" w:rsidRPr="00B84041">
        <w:rPr>
          <w:rFonts w:ascii="Times New Roman" w:hAnsi="Times New Roman" w:cs="Times New Roman"/>
          <w:sz w:val="24"/>
          <w:szCs w:val="24"/>
        </w:rPr>
        <w:t>permit</w:t>
      </w:r>
      <w:r w:rsidR="00804C1E" w:rsidRPr="00B84041">
        <w:rPr>
          <w:rFonts w:ascii="Times New Roman" w:hAnsi="Times New Roman" w:cs="Times New Roman"/>
          <w:sz w:val="24"/>
          <w:szCs w:val="24"/>
        </w:rPr>
        <w:t>ting</w:t>
      </w:r>
      <w:r w:rsidR="003C4D5E" w:rsidRPr="00B84041">
        <w:rPr>
          <w:rFonts w:ascii="Times New Roman" w:hAnsi="Times New Roman" w:cs="Times New Roman"/>
          <w:sz w:val="24"/>
          <w:szCs w:val="24"/>
        </w:rPr>
        <w:t xml:space="preserve"> the admission of a statement of a party’s agent or employee against the principal or employer when the party has authorized the statement to be made</w:t>
      </w:r>
      <w:r w:rsidR="00804C1E" w:rsidRPr="00B84041">
        <w:rPr>
          <w:rFonts w:ascii="Times New Roman" w:hAnsi="Times New Roman" w:cs="Times New Roman"/>
          <w:sz w:val="24"/>
          <w:szCs w:val="24"/>
        </w:rPr>
        <w:t xml:space="preserve">; </w:t>
      </w:r>
      <w:r w:rsidR="007446D2" w:rsidRPr="00B84041">
        <w:rPr>
          <w:rFonts w:ascii="Times New Roman" w:hAnsi="Times New Roman" w:cs="Times New Roman"/>
          <w:sz w:val="24"/>
          <w:szCs w:val="24"/>
        </w:rPr>
        <w:t>paragraph (</w:t>
      </w:r>
      <w:r w:rsidR="00870E6C" w:rsidRPr="00B84041">
        <w:rPr>
          <w:rFonts w:ascii="Times New Roman" w:hAnsi="Times New Roman" w:cs="Times New Roman"/>
          <w:sz w:val="24"/>
          <w:szCs w:val="24"/>
        </w:rPr>
        <w:t>b</w:t>
      </w:r>
      <w:r w:rsidR="007446D2" w:rsidRPr="00B84041">
        <w:rPr>
          <w:rFonts w:ascii="Times New Roman" w:hAnsi="Times New Roman" w:cs="Times New Roman"/>
          <w:sz w:val="24"/>
          <w:szCs w:val="24"/>
        </w:rPr>
        <w:t xml:space="preserve">) </w:t>
      </w:r>
      <w:r w:rsidR="00804C1E" w:rsidRPr="00B84041">
        <w:rPr>
          <w:rFonts w:ascii="Times New Roman" w:hAnsi="Times New Roman" w:cs="Times New Roman"/>
          <w:sz w:val="24"/>
          <w:szCs w:val="24"/>
        </w:rPr>
        <w:t xml:space="preserve">creates a new exception permitting </w:t>
      </w:r>
      <w:r w:rsidR="003C4D5E" w:rsidRPr="00B84041">
        <w:rPr>
          <w:rFonts w:ascii="Times New Roman" w:hAnsi="Times New Roman" w:cs="Times New Roman"/>
          <w:sz w:val="24"/>
          <w:szCs w:val="24"/>
        </w:rPr>
        <w:t xml:space="preserve">the admission </w:t>
      </w:r>
      <w:r w:rsidR="00804C1E" w:rsidRPr="00B84041">
        <w:rPr>
          <w:rFonts w:ascii="Times New Roman" w:hAnsi="Times New Roman" w:cs="Times New Roman"/>
          <w:sz w:val="24"/>
          <w:szCs w:val="24"/>
        </w:rPr>
        <w:t xml:space="preserve">of a statement of a party’s agent or employee </w:t>
      </w:r>
      <w:r w:rsidR="003C4D5E" w:rsidRPr="00B84041">
        <w:rPr>
          <w:rFonts w:ascii="Times New Roman" w:hAnsi="Times New Roman" w:cs="Times New Roman"/>
          <w:sz w:val="24"/>
          <w:szCs w:val="24"/>
        </w:rPr>
        <w:t xml:space="preserve">against </w:t>
      </w:r>
      <w:r w:rsidR="00804C1E" w:rsidRPr="00B84041">
        <w:rPr>
          <w:rFonts w:ascii="Times New Roman" w:hAnsi="Times New Roman" w:cs="Times New Roman"/>
          <w:sz w:val="24"/>
          <w:szCs w:val="24"/>
        </w:rPr>
        <w:t>the party</w:t>
      </w:r>
      <w:r w:rsidR="003C4D5E" w:rsidRPr="00B84041">
        <w:rPr>
          <w:rFonts w:ascii="Times New Roman" w:hAnsi="Times New Roman" w:cs="Times New Roman"/>
          <w:sz w:val="24"/>
          <w:szCs w:val="24"/>
        </w:rPr>
        <w:t xml:space="preserve"> principal or employer </w:t>
      </w:r>
      <w:r w:rsidR="00804C1E" w:rsidRPr="00B84041">
        <w:rPr>
          <w:rFonts w:ascii="Times New Roman" w:hAnsi="Times New Roman" w:cs="Times New Roman"/>
          <w:sz w:val="24"/>
          <w:szCs w:val="24"/>
        </w:rPr>
        <w:t xml:space="preserve">when the statement concerns a matter within the scope of the agency or employment irrespective of whether the statement was authorized or not. </w:t>
      </w:r>
      <w:r w:rsidR="007665F3" w:rsidRPr="00B84041">
        <w:rPr>
          <w:rFonts w:ascii="Times New Roman" w:hAnsi="Times New Roman" w:cs="Times New Roman"/>
          <w:sz w:val="24"/>
          <w:szCs w:val="24"/>
        </w:rPr>
        <w:t>Before</w:t>
      </w:r>
      <w:r w:rsidR="00804C1E" w:rsidRPr="00B84041">
        <w:rPr>
          <w:rFonts w:ascii="Times New Roman" w:hAnsi="Times New Roman" w:cs="Times New Roman"/>
          <w:sz w:val="24"/>
          <w:szCs w:val="24"/>
        </w:rPr>
        <w:t xml:space="preserve"> the enactment of CPLR 4549, New York’s common law did not recognize a hearsay exception for an agent’s or employee’s statement concerning the relationship when the agent o</w:t>
      </w:r>
      <w:r w:rsidR="00797E00" w:rsidRPr="00B84041">
        <w:rPr>
          <w:rFonts w:ascii="Times New Roman" w:hAnsi="Times New Roman" w:cs="Times New Roman"/>
          <w:sz w:val="24"/>
          <w:szCs w:val="24"/>
        </w:rPr>
        <w:t>r</w:t>
      </w:r>
      <w:r w:rsidR="00804C1E" w:rsidRPr="00B84041">
        <w:rPr>
          <w:rFonts w:ascii="Times New Roman" w:hAnsi="Times New Roman" w:cs="Times New Roman"/>
          <w:sz w:val="24"/>
          <w:szCs w:val="24"/>
        </w:rPr>
        <w:t xml:space="preserve"> employee had no speaking authority.</w:t>
      </w:r>
    </w:p>
    <w:p w14:paraId="48492F43" w14:textId="77777777" w:rsidR="00804C1E" w:rsidRPr="00B84041" w:rsidRDefault="00804C1E" w:rsidP="00404BFC">
      <w:pPr>
        <w:pStyle w:val="NoSpacing"/>
        <w:rPr>
          <w:rFonts w:ascii="Times New Roman" w:hAnsi="Times New Roman" w:cs="Times New Roman"/>
          <w:sz w:val="24"/>
          <w:szCs w:val="24"/>
        </w:rPr>
      </w:pPr>
    </w:p>
    <w:p w14:paraId="7A8FCA49" w14:textId="4CB384E6" w:rsidR="00C8604E" w:rsidRPr="00B84041" w:rsidRDefault="00404BFC" w:rsidP="00404BFC">
      <w:pPr>
        <w:pStyle w:val="NoSpacing"/>
        <w:tabs>
          <w:tab w:val="left" w:pos="720"/>
        </w:tabs>
        <w:rPr>
          <w:rFonts w:ascii="Times New Roman" w:hAnsi="Times New Roman" w:cs="Times New Roman"/>
          <w:sz w:val="24"/>
          <w:szCs w:val="24"/>
        </w:rPr>
      </w:pPr>
      <w:r w:rsidRPr="00B84041">
        <w:rPr>
          <w:rFonts w:ascii="Times New Roman" w:hAnsi="Times New Roman" w:cs="Times New Roman"/>
          <w:bCs/>
          <w:sz w:val="24"/>
          <w:szCs w:val="24"/>
        </w:rPr>
        <w:tab/>
      </w:r>
      <w:r w:rsidR="00885737" w:rsidRPr="00B84041">
        <w:rPr>
          <w:rFonts w:ascii="Times New Roman" w:hAnsi="Times New Roman" w:cs="Times New Roman"/>
          <w:bCs/>
          <w:sz w:val="24"/>
          <w:szCs w:val="24"/>
        </w:rPr>
        <w:t>T</w:t>
      </w:r>
      <w:r w:rsidR="00D629DB" w:rsidRPr="00B84041">
        <w:rPr>
          <w:rFonts w:ascii="Times New Roman" w:hAnsi="Times New Roman" w:cs="Times New Roman"/>
          <w:bCs/>
          <w:sz w:val="24"/>
          <w:szCs w:val="24"/>
        </w:rPr>
        <w:t xml:space="preserve">he operative element </w:t>
      </w:r>
      <w:r w:rsidR="00885737" w:rsidRPr="00B84041">
        <w:rPr>
          <w:rFonts w:ascii="Times New Roman" w:hAnsi="Times New Roman" w:cs="Times New Roman"/>
          <w:bCs/>
          <w:sz w:val="24"/>
          <w:szCs w:val="24"/>
        </w:rPr>
        <w:t xml:space="preserve">of the </w:t>
      </w:r>
      <w:r w:rsidR="003338E5" w:rsidRPr="00B84041">
        <w:rPr>
          <w:rFonts w:ascii="Times New Roman" w:hAnsi="Times New Roman" w:cs="Times New Roman"/>
          <w:bCs/>
          <w:sz w:val="24"/>
          <w:szCs w:val="24"/>
        </w:rPr>
        <w:t>“</w:t>
      </w:r>
      <w:r w:rsidR="00885737" w:rsidRPr="00B84041">
        <w:rPr>
          <w:rFonts w:ascii="Times New Roman" w:hAnsi="Times New Roman" w:cs="Times New Roman"/>
          <w:bCs/>
          <w:sz w:val="24"/>
          <w:szCs w:val="24"/>
        </w:rPr>
        <w:t>speaking agent</w:t>
      </w:r>
      <w:r w:rsidR="003338E5" w:rsidRPr="00B84041">
        <w:rPr>
          <w:rFonts w:ascii="Times New Roman" w:hAnsi="Times New Roman" w:cs="Times New Roman"/>
          <w:bCs/>
          <w:sz w:val="24"/>
          <w:szCs w:val="24"/>
        </w:rPr>
        <w:t>”</w:t>
      </w:r>
      <w:r w:rsidR="00885737" w:rsidRPr="00B84041">
        <w:rPr>
          <w:rFonts w:ascii="Times New Roman" w:hAnsi="Times New Roman" w:cs="Times New Roman"/>
          <w:bCs/>
          <w:sz w:val="24"/>
          <w:szCs w:val="24"/>
        </w:rPr>
        <w:t xml:space="preserve"> exception </w:t>
      </w:r>
      <w:r w:rsidR="00D629DB" w:rsidRPr="00B84041">
        <w:rPr>
          <w:rFonts w:ascii="Times New Roman" w:hAnsi="Times New Roman" w:cs="Times New Roman"/>
          <w:bCs/>
          <w:sz w:val="24"/>
          <w:szCs w:val="24"/>
        </w:rPr>
        <w:t>is that the agent or employee has been given authority to make the statement in issue (</w:t>
      </w:r>
      <w:r w:rsidR="00797E00" w:rsidRPr="00B84041">
        <w:rPr>
          <w:rFonts w:ascii="Times New Roman" w:hAnsi="Times New Roman" w:cs="Times New Roman"/>
          <w:i/>
          <w:iCs/>
          <w:sz w:val="24"/>
          <w:szCs w:val="24"/>
        </w:rPr>
        <w:t>s</w:t>
      </w:r>
      <w:r w:rsidR="0007122C" w:rsidRPr="00B84041">
        <w:rPr>
          <w:rFonts w:ascii="Times New Roman" w:hAnsi="Times New Roman" w:cs="Times New Roman"/>
          <w:i/>
          <w:iCs/>
          <w:sz w:val="24"/>
          <w:szCs w:val="24"/>
        </w:rPr>
        <w:t xml:space="preserve">ee e.g. </w:t>
      </w:r>
      <w:r w:rsidR="00D629DB" w:rsidRPr="00B84041">
        <w:rPr>
          <w:rFonts w:ascii="Times New Roman" w:hAnsi="Times New Roman" w:cs="Times New Roman"/>
          <w:i/>
          <w:iCs/>
          <w:sz w:val="24"/>
          <w:szCs w:val="24"/>
        </w:rPr>
        <w:t>Tyrrell v Wal-Mart Stores</w:t>
      </w:r>
      <w:r w:rsidR="00797E00" w:rsidRPr="00B84041">
        <w:rPr>
          <w:rFonts w:ascii="Times New Roman" w:hAnsi="Times New Roman" w:cs="Times New Roman"/>
          <w:sz w:val="24"/>
          <w:szCs w:val="24"/>
        </w:rPr>
        <w:t xml:space="preserve">, </w:t>
      </w:r>
      <w:r w:rsidR="00D629DB" w:rsidRPr="00B84041">
        <w:rPr>
          <w:rFonts w:ascii="Times New Roman" w:hAnsi="Times New Roman" w:cs="Times New Roman"/>
          <w:sz w:val="24"/>
          <w:szCs w:val="24"/>
        </w:rPr>
        <w:t xml:space="preserve">97 NY2d 650, 652 [2001] [“The Appellate Division correctly concluded that plaintiff failed to establish that the unidentified employee was authorized to make the alleged statement; thus, the statement did not constitute an admission binding on the employer”]; </w:t>
      </w:r>
      <w:proofErr w:type="spellStart"/>
      <w:r w:rsidR="00D629DB" w:rsidRPr="00B84041">
        <w:rPr>
          <w:rFonts w:ascii="Times New Roman" w:hAnsi="Times New Roman" w:cs="Times New Roman"/>
          <w:i/>
          <w:iCs/>
          <w:sz w:val="24"/>
          <w:szCs w:val="24"/>
        </w:rPr>
        <w:t>Loschiavo</w:t>
      </w:r>
      <w:proofErr w:type="spellEnd"/>
      <w:r w:rsidR="00D629DB" w:rsidRPr="00B84041">
        <w:rPr>
          <w:rFonts w:ascii="Times New Roman" w:hAnsi="Times New Roman" w:cs="Times New Roman"/>
          <w:i/>
          <w:iCs/>
          <w:sz w:val="24"/>
          <w:szCs w:val="24"/>
        </w:rPr>
        <w:t xml:space="preserve"> v Port Auth. of N.Y. &amp; N.J.</w:t>
      </w:r>
      <w:r w:rsidR="00797E00" w:rsidRPr="00B84041">
        <w:rPr>
          <w:rFonts w:ascii="Times New Roman" w:hAnsi="Times New Roman" w:cs="Times New Roman"/>
          <w:sz w:val="24"/>
          <w:szCs w:val="24"/>
        </w:rPr>
        <w:t>,</w:t>
      </w:r>
      <w:r w:rsidR="00797E00" w:rsidRPr="00B84041">
        <w:rPr>
          <w:rFonts w:ascii="Times New Roman" w:hAnsi="Times New Roman" w:cs="Times New Roman"/>
          <w:i/>
          <w:iCs/>
          <w:sz w:val="24"/>
          <w:szCs w:val="24"/>
        </w:rPr>
        <w:t xml:space="preserve"> </w:t>
      </w:r>
      <w:r w:rsidR="00D629DB" w:rsidRPr="00B84041">
        <w:rPr>
          <w:rFonts w:ascii="Times New Roman" w:hAnsi="Times New Roman" w:cs="Times New Roman"/>
          <w:sz w:val="24"/>
          <w:szCs w:val="24"/>
        </w:rPr>
        <w:t xml:space="preserve">58 NY2d 1040, 1041 [1983] [“(T)he hearsay statement of an agent is admissible against his employer under the admissions exception to the hearsay rule . . . if the making of the statement is an activity within the scope of his authority”]; </w:t>
      </w:r>
      <w:r w:rsidR="00D629DB" w:rsidRPr="00B84041">
        <w:rPr>
          <w:rFonts w:ascii="Times New Roman" w:hAnsi="Times New Roman" w:cs="Times New Roman"/>
          <w:i/>
          <w:iCs/>
          <w:sz w:val="24"/>
          <w:szCs w:val="24"/>
        </w:rPr>
        <w:t>Merchants</w:t>
      </w:r>
      <w:r w:rsidR="00797E00" w:rsidRPr="00B84041">
        <w:rPr>
          <w:rFonts w:ascii="Times New Roman" w:hAnsi="Times New Roman" w:cs="Times New Roman"/>
          <w:i/>
          <w:iCs/>
          <w:sz w:val="24"/>
          <w:szCs w:val="24"/>
        </w:rPr>
        <w:t>’</w:t>
      </w:r>
      <w:r w:rsidR="00D629DB" w:rsidRPr="00B84041">
        <w:rPr>
          <w:rFonts w:ascii="Times New Roman" w:hAnsi="Times New Roman" w:cs="Times New Roman"/>
          <w:i/>
          <w:iCs/>
          <w:sz w:val="24"/>
          <w:szCs w:val="24"/>
        </w:rPr>
        <w:t xml:space="preserve"> Natl. Bank</w:t>
      </w:r>
      <w:r w:rsidR="00797E00" w:rsidRPr="00B84041">
        <w:rPr>
          <w:rFonts w:ascii="Times New Roman" w:hAnsi="Times New Roman" w:cs="Times New Roman"/>
          <w:i/>
          <w:iCs/>
          <w:sz w:val="24"/>
          <w:szCs w:val="24"/>
        </w:rPr>
        <w:t>,</w:t>
      </w:r>
      <w:r w:rsidR="00D629DB" w:rsidRPr="00B84041">
        <w:rPr>
          <w:rFonts w:ascii="Times New Roman" w:hAnsi="Times New Roman" w:cs="Times New Roman"/>
          <w:i/>
          <w:iCs/>
          <w:sz w:val="24"/>
          <w:szCs w:val="24"/>
        </w:rPr>
        <w:t xml:space="preserve"> of Gardner, Kennebec County, Me. v</w:t>
      </w:r>
      <w:r w:rsidR="00D629DB" w:rsidRPr="00B84041">
        <w:rPr>
          <w:rFonts w:ascii="Times New Roman" w:hAnsi="Times New Roman" w:cs="Times New Roman"/>
          <w:sz w:val="24"/>
          <w:szCs w:val="24"/>
        </w:rPr>
        <w:t xml:space="preserve"> </w:t>
      </w:r>
      <w:r w:rsidR="00D629DB" w:rsidRPr="00B84041">
        <w:rPr>
          <w:rFonts w:ascii="Times New Roman" w:hAnsi="Times New Roman" w:cs="Times New Roman"/>
          <w:i/>
          <w:sz w:val="24"/>
          <w:szCs w:val="24"/>
        </w:rPr>
        <w:t>Clark</w:t>
      </w:r>
      <w:r w:rsidR="00797E00" w:rsidRPr="00B84041">
        <w:rPr>
          <w:rFonts w:ascii="Times New Roman" w:hAnsi="Times New Roman" w:cs="Times New Roman"/>
          <w:sz w:val="24"/>
          <w:szCs w:val="24"/>
        </w:rPr>
        <w:t xml:space="preserve">, </w:t>
      </w:r>
      <w:r w:rsidR="00D629DB" w:rsidRPr="00B84041">
        <w:rPr>
          <w:rFonts w:ascii="Times New Roman" w:hAnsi="Times New Roman" w:cs="Times New Roman"/>
          <w:sz w:val="24"/>
          <w:szCs w:val="24"/>
        </w:rPr>
        <w:t xml:space="preserve">139 NY 314, 319 [1893] [“Hearsay evidence of this character is only permissible when it relates </w:t>
      </w:r>
      <w:r w:rsidR="00D629DB" w:rsidRPr="00B84041">
        <w:rPr>
          <w:rFonts w:ascii="Times New Roman" w:hAnsi="Times New Roman" w:cs="Times New Roman"/>
          <w:sz w:val="24"/>
          <w:szCs w:val="24"/>
        </w:rPr>
        <w:lastRenderedPageBreak/>
        <w:t xml:space="preserve">to statements by the agent, which he was authorized by his principal to make”]). </w:t>
      </w:r>
      <w:r w:rsidR="00C8604E" w:rsidRPr="00B84041">
        <w:rPr>
          <w:rFonts w:ascii="Times New Roman" w:hAnsi="Times New Roman" w:cs="Times New Roman"/>
          <w:bCs/>
          <w:sz w:val="24"/>
          <w:szCs w:val="24"/>
        </w:rPr>
        <w:t xml:space="preserve">Proof that the person was authorized or otherwise directed to act in the matter to which his statement relates is insufficient (Barker </w:t>
      </w:r>
      <w:r w:rsidR="00797E00" w:rsidRPr="00B84041">
        <w:rPr>
          <w:rFonts w:ascii="Times New Roman" w:hAnsi="Times New Roman" w:cs="Times New Roman"/>
          <w:bCs/>
          <w:sz w:val="24"/>
          <w:szCs w:val="24"/>
        </w:rPr>
        <w:t xml:space="preserve">&amp; </w:t>
      </w:r>
      <w:r w:rsidR="00C8604E" w:rsidRPr="00B84041">
        <w:rPr>
          <w:rFonts w:ascii="Times New Roman" w:hAnsi="Times New Roman" w:cs="Times New Roman"/>
          <w:bCs/>
          <w:sz w:val="24"/>
          <w:szCs w:val="24"/>
        </w:rPr>
        <w:t xml:space="preserve">Alexander, Evidence in New York State and Federal Courts </w:t>
      </w:r>
      <w:r w:rsidR="00C8604E" w:rsidRPr="00B84041">
        <w:rPr>
          <w:rFonts w:ascii="Times New Roman" w:hAnsi="Times New Roman" w:cs="Times New Roman"/>
          <w:sz w:val="24"/>
          <w:szCs w:val="24"/>
        </w:rPr>
        <w:t>§</w:t>
      </w:r>
      <w:r w:rsidR="00797E00" w:rsidRPr="00B84041">
        <w:rPr>
          <w:rFonts w:ascii="Times New Roman" w:hAnsi="Times New Roman" w:cs="Times New Roman"/>
          <w:sz w:val="24"/>
          <w:szCs w:val="24"/>
        </w:rPr>
        <w:t xml:space="preserve"> </w:t>
      </w:r>
      <w:r w:rsidR="00C8604E" w:rsidRPr="00B84041">
        <w:rPr>
          <w:rFonts w:ascii="Times New Roman" w:hAnsi="Times New Roman" w:cs="Times New Roman"/>
          <w:sz w:val="24"/>
          <w:szCs w:val="24"/>
        </w:rPr>
        <w:t>8:21</w:t>
      </w:r>
      <w:r w:rsidR="00797E00" w:rsidRPr="00B84041">
        <w:rPr>
          <w:rFonts w:ascii="Times New Roman" w:hAnsi="Times New Roman" w:cs="Times New Roman"/>
          <w:sz w:val="24"/>
          <w:szCs w:val="24"/>
        </w:rPr>
        <w:t xml:space="preserve"> [2d ed]</w:t>
      </w:r>
      <w:r w:rsidR="00C8604E" w:rsidRPr="00B84041">
        <w:rPr>
          <w:rFonts w:ascii="Times New Roman" w:hAnsi="Times New Roman" w:cs="Times New Roman"/>
          <w:sz w:val="24"/>
          <w:szCs w:val="24"/>
        </w:rPr>
        <w:t>).</w:t>
      </w:r>
    </w:p>
    <w:p w14:paraId="0D8A8811" w14:textId="1692A69B" w:rsidR="00FA613F" w:rsidRPr="00B84041" w:rsidRDefault="00FA613F" w:rsidP="00404BFC">
      <w:pPr>
        <w:pStyle w:val="NoSpacing"/>
        <w:rPr>
          <w:rFonts w:ascii="Times New Roman" w:hAnsi="Times New Roman" w:cs="Times New Roman"/>
          <w:sz w:val="24"/>
          <w:szCs w:val="24"/>
        </w:rPr>
      </w:pPr>
    </w:p>
    <w:p w14:paraId="231797E0" w14:textId="44CFF3A9" w:rsidR="00FA613F" w:rsidRPr="00B84041" w:rsidRDefault="00404BFC" w:rsidP="00404BFC">
      <w:pPr>
        <w:pStyle w:val="NoSpacing"/>
        <w:tabs>
          <w:tab w:val="left" w:pos="720"/>
        </w:tabs>
        <w:rPr>
          <w:rFonts w:ascii="Times New Roman" w:hAnsi="Times New Roman" w:cs="Times New Roman"/>
          <w:bCs/>
          <w:sz w:val="24"/>
          <w:szCs w:val="24"/>
        </w:rPr>
      </w:pPr>
      <w:r w:rsidRPr="00B84041">
        <w:rPr>
          <w:rFonts w:ascii="Times New Roman" w:hAnsi="Times New Roman" w:cs="Times New Roman"/>
          <w:sz w:val="24"/>
          <w:szCs w:val="24"/>
        </w:rPr>
        <w:tab/>
      </w:r>
      <w:r w:rsidR="00FA613F" w:rsidRPr="00B84041">
        <w:rPr>
          <w:rFonts w:ascii="Times New Roman" w:hAnsi="Times New Roman" w:cs="Times New Roman"/>
          <w:sz w:val="24"/>
          <w:szCs w:val="24"/>
        </w:rPr>
        <w:t>The other exception set forth in paragraph (</w:t>
      </w:r>
      <w:r w:rsidR="00797E00" w:rsidRPr="00B84041">
        <w:rPr>
          <w:rFonts w:ascii="Times New Roman" w:hAnsi="Times New Roman" w:cs="Times New Roman"/>
          <w:sz w:val="24"/>
          <w:szCs w:val="24"/>
        </w:rPr>
        <w:t>b</w:t>
      </w:r>
      <w:r w:rsidR="00FA613F" w:rsidRPr="00B84041">
        <w:rPr>
          <w:rFonts w:ascii="Times New Roman" w:hAnsi="Times New Roman" w:cs="Times New Roman"/>
          <w:sz w:val="24"/>
          <w:szCs w:val="24"/>
        </w:rPr>
        <w:t>) creates an exception for statements of a party’s agent or employee made by the agent or employee in the scope of such relationship.</w:t>
      </w:r>
      <w:r w:rsidR="00581E9B" w:rsidRPr="00B84041">
        <w:rPr>
          <w:rFonts w:ascii="Times New Roman" w:hAnsi="Times New Roman" w:cs="Times New Roman"/>
          <w:sz w:val="24"/>
          <w:szCs w:val="24"/>
        </w:rPr>
        <w:t xml:space="preserve"> </w:t>
      </w:r>
      <w:r w:rsidR="00FA613F" w:rsidRPr="00B84041">
        <w:rPr>
          <w:rFonts w:ascii="Times New Roman" w:hAnsi="Times New Roman" w:cs="Times New Roman"/>
          <w:sz w:val="24"/>
          <w:szCs w:val="24"/>
        </w:rPr>
        <w:t>The exception has two operative elements:</w:t>
      </w:r>
      <w:r w:rsidR="00FA613F" w:rsidRPr="00B84041">
        <w:rPr>
          <w:rFonts w:ascii="Times New Roman" w:hAnsi="Times New Roman" w:cs="Times New Roman"/>
          <w:bCs/>
          <w:sz w:val="24"/>
          <w:szCs w:val="24"/>
        </w:rPr>
        <w:t xml:space="preserve"> (1) the statement relates to or concerns a matter within the scope of the agency or employment relationship; and (2) the statement was made during the existence of that relationship. As to the first element, the relational phrase</w:t>
      </w:r>
      <w:bookmarkStart w:id="2" w:name="_Hlk103676973"/>
      <w:proofErr w:type="gramStart"/>
      <w:r w:rsidR="00581E9B" w:rsidRPr="00B84041">
        <w:rPr>
          <w:rFonts w:ascii="Times New Roman" w:hAnsi="Times New Roman" w:cs="Times New Roman"/>
          <w:bCs/>
          <w:sz w:val="24"/>
          <w:szCs w:val="24"/>
        </w:rPr>
        <w:t>—</w:t>
      </w:r>
      <w:r w:rsidR="00FA613F" w:rsidRPr="00B84041">
        <w:rPr>
          <w:rFonts w:ascii="Times New Roman" w:hAnsi="Times New Roman" w:cs="Times New Roman"/>
          <w:bCs/>
          <w:sz w:val="24"/>
          <w:szCs w:val="24"/>
        </w:rPr>
        <w:t>“</w:t>
      </w:r>
      <w:proofErr w:type="gramEnd"/>
      <w:r w:rsidR="00FA613F" w:rsidRPr="00B84041">
        <w:rPr>
          <w:rFonts w:ascii="Times New Roman" w:hAnsi="Times New Roman" w:cs="Times New Roman"/>
          <w:bCs/>
          <w:sz w:val="24"/>
          <w:szCs w:val="24"/>
        </w:rPr>
        <w:t xml:space="preserve">within the scope of </w:t>
      </w:r>
      <w:r w:rsidR="00BF72C0" w:rsidRPr="00B84041">
        <w:rPr>
          <w:rFonts w:ascii="Times New Roman" w:hAnsi="Times New Roman" w:cs="Times New Roman"/>
          <w:bCs/>
          <w:sz w:val="24"/>
          <w:szCs w:val="24"/>
        </w:rPr>
        <w:t xml:space="preserve">that </w:t>
      </w:r>
      <w:r w:rsidR="00FA613F" w:rsidRPr="00B84041">
        <w:rPr>
          <w:rFonts w:ascii="Times New Roman" w:hAnsi="Times New Roman" w:cs="Times New Roman"/>
          <w:bCs/>
          <w:sz w:val="24"/>
          <w:szCs w:val="24"/>
        </w:rPr>
        <w:t>relationship”</w:t>
      </w:r>
      <w:bookmarkEnd w:id="2"/>
      <w:r w:rsidR="00581E9B" w:rsidRPr="00B84041">
        <w:rPr>
          <w:rFonts w:ascii="Times New Roman" w:hAnsi="Times New Roman" w:cs="Times New Roman"/>
          <w:bCs/>
          <w:sz w:val="24"/>
          <w:szCs w:val="24"/>
        </w:rPr>
        <w:t>—</w:t>
      </w:r>
      <w:r w:rsidR="00FA613F" w:rsidRPr="00B84041">
        <w:rPr>
          <w:rFonts w:ascii="Times New Roman" w:hAnsi="Times New Roman" w:cs="Times New Roman"/>
          <w:bCs/>
          <w:sz w:val="24"/>
          <w:szCs w:val="24"/>
        </w:rPr>
        <w:t xml:space="preserve">is identical to that </w:t>
      </w:r>
      <w:r w:rsidR="00D062B3" w:rsidRPr="00B84041">
        <w:rPr>
          <w:rFonts w:ascii="Times New Roman" w:hAnsi="Times New Roman" w:cs="Times New Roman"/>
          <w:bCs/>
          <w:sz w:val="24"/>
          <w:szCs w:val="24"/>
        </w:rPr>
        <w:t>phrase</w:t>
      </w:r>
      <w:r w:rsidR="00FA613F" w:rsidRPr="00B84041">
        <w:rPr>
          <w:rFonts w:ascii="Times New Roman" w:hAnsi="Times New Roman" w:cs="Times New Roman"/>
          <w:bCs/>
          <w:sz w:val="24"/>
          <w:szCs w:val="24"/>
        </w:rPr>
        <w:t xml:space="preserve"> in </w:t>
      </w:r>
      <w:bookmarkStart w:id="3" w:name="_Hlk103069640"/>
      <w:r w:rsidR="00FA613F" w:rsidRPr="00B84041">
        <w:rPr>
          <w:rFonts w:ascii="Times New Roman" w:hAnsi="Times New Roman" w:cs="Times New Roman"/>
          <w:bCs/>
          <w:sz w:val="24"/>
          <w:szCs w:val="24"/>
        </w:rPr>
        <w:t>F</w:t>
      </w:r>
      <w:r w:rsidR="00581E9B" w:rsidRPr="00B84041">
        <w:rPr>
          <w:rFonts w:ascii="Times New Roman" w:hAnsi="Times New Roman" w:cs="Times New Roman"/>
          <w:bCs/>
          <w:sz w:val="24"/>
          <w:szCs w:val="24"/>
        </w:rPr>
        <w:t xml:space="preserve">ederal </w:t>
      </w:r>
      <w:r w:rsidR="00FA613F" w:rsidRPr="00B84041">
        <w:rPr>
          <w:rFonts w:ascii="Times New Roman" w:hAnsi="Times New Roman" w:cs="Times New Roman"/>
          <w:bCs/>
          <w:sz w:val="24"/>
          <w:szCs w:val="24"/>
        </w:rPr>
        <w:t>R</w:t>
      </w:r>
      <w:r w:rsidR="00581E9B" w:rsidRPr="00B84041">
        <w:rPr>
          <w:rFonts w:ascii="Times New Roman" w:hAnsi="Times New Roman" w:cs="Times New Roman"/>
          <w:bCs/>
          <w:sz w:val="24"/>
          <w:szCs w:val="24"/>
        </w:rPr>
        <w:t xml:space="preserve">ules of Evidence rule </w:t>
      </w:r>
      <w:r w:rsidR="00FA613F" w:rsidRPr="00B84041">
        <w:rPr>
          <w:rFonts w:ascii="Times New Roman" w:hAnsi="Times New Roman" w:cs="Times New Roman"/>
          <w:bCs/>
          <w:sz w:val="24"/>
          <w:szCs w:val="24"/>
        </w:rPr>
        <w:t>801</w:t>
      </w:r>
      <w:r w:rsidR="00581E9B" w:rsidRPr="00B84041">
        <w:rPr>
          <w:rFonts w:ascii="Times New Roman" w:hAnsi="Times New Roman" w:cs="Times New Roman"/>
          <w:bCs/>
          <w:sz w:val="24"/>
          <w:szCs w:val="24"/>
        </w:rPr>
        <w:t xml:space="preserve"> </w:t>
      </w:r>
      <w:r w:rsidR="00FA613F" w:rsidRPr="00B84041">
        <w:rPr>
          <w:rFonts w:ascii="Times New Roman" w:hAnsi="Times New Roman" w:cs="Times New Roman"/>
          <w:bCs/>
          <w:sz w:val="24"/>
          <w:szCs w:val="24"/>
        </w:rPr>
        <w:t>(</w:t>
      </w:r>
      <w:r w:rsidR="00581E9B" w:rsidRPr="00B84041">
        <w:rPr>
          <w:rFonts w:ascii="Times New Roman" w:hAnsi="Times New Roman" w:cs="Times New Roman"/>
          <w:bCs/>
          <w:sz w:val="24"/>
          <w:szCs w:val="24"/>
        </w:rPr>
        <w:t>d</w:t>
      </w:r>
      <w:r w:rsidR="00FA613F" w:rsidRPr="00B84041">
        <w:rPr>
          <w:rFonts w:ascii="Times New Roman" w:hAnsi="Times New Roman" w:cs="Times New Roman"/>
          <w:bCs/>
          <w:sz w:val="24"/>
          <w:szCs w:val="24"/>
        </w:rPr>
        <w:t>)</w:t>
      </w:r>
      <w:r w:rsidR="00581E9B" w:rsidRPr="00B84041">
        <w:rPr>
          <w:rFonts w:ascii="Times New Roman" w:hAnsi="Times New Roman" w:cs="Times New Roman"/>
          <w:bCs/>
          <w:sz w:val="24"/>
          <w:szCs w:val="24"/>
        </w:rPr>
        <w:t xml:space="preserve"> </w:t>
      </w:r>
      <w:r w:rsidR="00FA613F" w:rsidRPr="00B84041">
        <w:rPr>
          <w:rFonts w:ascii="Times New Roman" w:hAnsi="Times New Roman" w:cs="Times New Roman"/>
          <w:bCs/>
          <w:sz w:val="24"/>
          <w:szCs w:val="24"/>
        </w:rPr>
        <w:t>(2</w:t>
      </w:r>
      <w:r w:rsidR="00581E9B" w:rsidRPr="00B84041">
        <w:rPr>
          <w:rFonts w:ascii="Times New Roman" w:hAnsi="Times New Roman" w:cs="Times New Roman"/>
          <w:bCs/>
          <w:sz w:val="24"/>
          <w:szCs w:val="24"/>
        </w:rPr>
        <w:t xml:space="preserve">) </w:t>
      </w:r>
      <w:r w:rsidR="00FA613F" w:rsidRPr="00B84041">
        <w:rPr>
          <w:rFonts w:ascii="Times New Roman" w:hAnsi="Times New Roman" w:cs="Times New Roman"/>
          <w:bCs/>
          <w:sz w:val="24"/>
          <w:szCs w:val="24"/>
        </w:rPr>
        <w:t>(</w:t>
      </w:r>
      <w:r w:rsidR="00581E9B" w:rsidRPr="00B84041">
        <w:rPr>
          <w:rFonts w:ascii="Times New Roman" w:hAnsi="Times New Roman" w:cs="Times New Roman"/>
          <w:bCs/>
          <w:sz w:val="24"/>
          <w:szCs w:val="24"/>
        </w:rPr>
        <w:t>D</w:t>
      </w:r>
      <w:r w:rsidR="00FA613F" w:rsidRPr="00B84041">
        <w:rPr>
          <w:rFonts w:ascii="Times New Roman" w:hAnsi="Times New Roman" w:cs="Times New Roman"/>
          <w:bCs/>
          <w:sz w:val="24"/>
          <w:szCs w:val="24"/>
        </w:rPr>
        <w:t>)</w:t>
      </w:r>
      <w:bookmarkEnd w:id="3"/>
      <w:r w:rsidR="00FA613F" w:rsidRPr="00B84041">
        <w:rPr>
          <w:rFonts w:ascii="Times New Roman" w:hAnsi="Times New Roman" w:cs="Times New Roman"/>
          <w:bCs/>
          <w:sz w:val="24"/>
          <w:szCs w:val="24"/>
        </w:rPr>
        <w:t xml:space="preserve">. Commentators have noted that relationship phrase “is broad in its scope” (Mueller </w:t>
      </w:r>
      <w:r w:rsidR="00581E9B" w:rsidRPr="00B84041">
        <w:rPr>
          <w:rFonts w:ascii="Times New Roman" w:hAnsi="Times New Roman" w:cs="Times New Roman"/>
          <w:bCs/>
          <w:sz w:val="24"/>
          <w:szCs w:val="24"/>
        </w:rPr>
        <w:t xml:space="preserve">&amp; </w:t>
      </w:r>
      <w:r w:rsidR="00FA613F" w:rsidRPr="00B84041">
        <w:rPr>
          <w:rFonts w:ascii="Times New Roman" w:hAnsi="Times New Roman" w:cs="Times New Roman"/>
          <w:bCs/>
          <w:sz w:val="24"/>
          <w:szCs w:val="24"/>
        </w:rPr>
        <w:t xml:space="preserve">Kirkpatrick, Federal Evidence </w:t>
      </w:r>
      <w:r w:rsidR="00FA613F" w:rsidRPr="00B84041">
        <w:rPr>
          <w:rFonts w:ascii="Times New Roman" w:hAnsi="Times New Roman" w:cs="Times New Roman"/>
          <w:sz w:val="24"/>
          <w:szCs w:val="24"/>
        </w:rPr>
        <w:t>§</w:t>
      </w:r>
      <w:r w:rsidR="00581E9B" w:rsidRPr="00B84041">
        <w:rPr>
          <w:rFonts w:ascii="Times New Roman" w:hAnsi="Times New Roman" w:cs="Times New Roman"/>
          <w:sz w:val="24"/>
          <w:szCs w:val="24"/>
        </w:rPr>
        <w:t xml:space="preserve"> </w:t>
      </w:r>
      <w:r w:rsidR="00FA613F" w:rsidRPr="00B84041">
        <w:rPr>
          <w:rFonts w:ascii="Times New Roman" w:hAnsi="Times New Roman" w:cs="Times New Roman"/>
          <w:sz w:val="24"/>
          <w:szCs w:val="24"/>
        </w:rPr>
        <w:t>8:55</w:t>
      </w:r>
      <w:r w:rsidR="00581E9B" w:rsidRPr="00B84041">
        <w:rPr>
          <w:rFonts w:ascii="Times New Roman" w:hAnsi="Times New Roman" w:cs="Times New Roman"/>
          <w:sz w:val="24"/>
          <w:szCs w:val="24"/>
        </w:rPr>
        <w:t xml:space="preserve"> [4th ed]</w:t>
      </w:r>
      <w:r w:rsidR="00FA613F" w:rsidRPr="00B84041">
        <w:rPr>
          <w:rFonts w:ascii="Times New Roman" w:hAnsi="Times New Roman" w:cs="Times New Roman"/>
          <w:sz w:val="24"/>
          <w:szCs w:val="24"/>
        </w:rPr>
        <w:t>)</w:t>
      </w:r>
      <w:r w:rsidR="00FA613F" w:rsidRPr="00B84041">
        <w:rPr>
          <w:rFonts w:ascii="Times New Roman" w:hAnsi="Times New Roman" w:cs="Times New Roman"/>
          <w:bCs/>
          <w:sz w:val="24"/>
          <w:szCs w:val="24"/>
        </w:rPr>
        <w:t xml:space="preserve">. Consistent with that observation, the federal courts have given </w:t>
      </w:r>
      <w:r w:rsidR="00661B7D" w:rsidRPr="00B84041">
        <w:rPr>
          <w:rFonts w:ascii="Times New Roman" w:hAnsi="Times New Roman" w:cs="Times New Roman"/>
          <w:bCs/>
          <w:sz w:val="24"/>
          <w:szCs w:val="24"/>
        </w:rPr>
        <w:t xml:space="preserve">the phrase </w:t>
      </w:r>
      <w:r w:rsidR="00FA613F" w:rsidRPr="00B84041">
        <w:rPr>
          <w:rFonts w:ascii="Times New Roman" w:hAnsi="Times New Roman" w:cs="Times New Roman"/>
          <w:bCs/>
          <w:sz w:val="24"/>
          <w:szCs w:val="24"/>
        </w:rPr>
        <w:t>a liberal construction, requiring only that the statement have some connection to the agent’s or employee’s specific job duties</w:t>
      </w:r>
      <w:r w:rsidR="00A34D7F" w:rsidRPr="00B84041">
        <w:rPr>
          <w:rFonts w:ascii="Times New Roman" w:hAnsi="Times New Roman" w:cs="Times New Roman"/>
          <w:bCs/>
          <w:sz w:val="24"/>
          <w:szCs w:val="24"/>
        </w:rPr>
        <w:t xml:space="preserve"> </w:t>
      </w:r>
      <w:r w:rsidR="00FA613F" w:rsidRPr="00B84041">
        <w:rPr>
          <w:rFonts w:ascii="Times New Roman" w:hAnsi="Times New Roman" w:cs="Times New Roman"/>
          <w:bCs/>
          <w:sz w:val="24"/>
          <w:szCs w:val="24"/>
        </w:rPr>
        <w:t>(</w:t>
      </w:r>
      <w:r w:rsidR="00A34D7F" w:rsidRPr="00B84041">
        <w:rPr>
          <w:rFonts w:ascii="Times New Roman" w:hAnsi="Times New Roman" w:cs="Times New Roman"/>
          <w:bCs/>
          <w:i/>
          <w:iCs/>
          <w:sz w:val="24"/>
          <w:szCs w:val="24"/>
        </w:rPr>
        <w:t>i</w:t>
      </w:r>
      <w:r w:rsidR="00FA613F" w:rsidRPr="00B84041">
        <w:rPr>
          <w:rFonts w:ascii="Times New Roman" w:hAnsi="Times New Roman" w:cs="Times New Roman"/>
          <w:bCs/>
          <w:i/>
          <w:sz w:val="24"/>
          <w:szCs w:val="24"/>
        </w:rPr>
        <w:t>d</w:t>
      </w:r>
      <w:r w:rsidR="00FA613F" w:rsidRPr="00B84041">
        <w:rPr>
          <w:rFonts w:ascii="Times New Roman" w:hAnsi="Times New Roman" w:cs="Times New Roman"/>
          <w:bCs/>
          <w:sz w:val="24"/>
          <w:szCs w:val="24"/>
        </w:rPr>
        <w:t>.).</w:t>
      </w:r>
      <w:r w:rsidR="00A34D7F" w:rsidRPr="00B84041">
        <w:rPr>
          <w:rFonts w:ascii="Times New Roman" w:hAnsi="Times New Roman" w:cs="Times New Roman"/>
          <w:bCs/>
          <w:sz w:val="24"/>
          <w:szCs w:val="24"/>
        </w:rPr>
        <w:t xml:space="preserve"> </w:t>
      </w:r>
      <w:r w:rsidR="00FA613F" w:rsidRPr="00B84041">
        <w:rPr>
          <w:rFonts w:ascii="Times New Roman" w:hAnsi="Times New Roman" w:cs="Times New Roman"/>
          <w:bCs/>
          <w:sz w:val="24"/>
          <w:szCs w:val="24"/>
        </w:rPr>
        <w:t>With respect to the second element, the temporal requirement</w:t>
      </w:r>
      <w:proofErr w:type="gramStart"/>
      <w:r w:rsidR="00A34D7F" w:rsidRPr="00B84041">
        <w:rPr>
          <w:rFonts w:ascii="Times New Roman" w:hAnsi="Times New Roman" w:cs="Times New Roman"/>
          <w:bCs/>
          <w:sz w:val="24"/>
          <w:szCs w:val="24"/>
        </w:rPr>
        <w:t>—</w:t>
      </w:r>
      <w:r w:rsidR="00FA613F" w:rsidRPr="00B84041">
        <w:rPr>
          <w:rFonts w:ascii="Times New Roman" w:hAnsi="Times New Roman" w:cs="Times New Roman"/>
          <w:bCs/>
          <w:sz w:val="24"/>
          <w:szCs w:val="24"/>
        </w:rPr>
        <w:t>“</w:t>
      </w:r>
      <w:proofErr w:type="gramEnd"/>
      <w:r w:rsidR="00FA613F" w:rsidRPr="00B84041">
        <w:rPr>
          <w:rFonts w:ascii="Times New Roman" w:hAnsi="Times New Roman" w:cs="Times New Roman"/>
          <w:bCs/>
          <w:sz w:val="24"/>
          <w:szCs w:val="24"/>
        </w:rPr>
        <w:t>during the existence of that relationship”</w:t>
      </w:r>
      <w:r w:rsidR="00A34D7F" w:rsidRPr="00B84041">
        <w:rPr>
          <w:rFonts w:ascii="Times New Roman" w:hAnsi="Times New Roman" w:cs="Times New Roman"/>
          <w:bCs/>
          <w:sz w:val="24"/>
          <w:szCs w:val="24"/>
        </w:rPr>
        <w:t>—</w:t>
      </w:r>
      <w:r w:rsidR="00FA613F" w:rsidRPr="00B84041">
        <w:rPr>
          <w:rFonts w:ascii="Times New Roman" w:hAnsi="Times New Roman" w:cs="Times New Roman"/>
          <w:bCs/>
          <w:sz w:val="24"/>
          <w:szCs w:val="24"/>
        </w:rPr>
        <w:t xml:space="preserve">is likewise derived from </w:t>
      </w:r>
      <w:r w:rsidR="00A34D7F" w:rsidRPr="00B84041">
        <w:rPr>
          <w:rFonts w:ascii="Times New Roman" w:hAnsi="Times New Roman" w:cs="Times New Roman"/>
          <w:bCs/>
          <w:sz w:val="24"/>
          <w:szCs w:val="24"/>
        </w:rPr>
        <w:t>Federal Rules of Evidence rule 801 (d) (2) (D)</w:t>
      </w:r>
      <w:r w:rsidR="00FA613F" w:rsidRPr="00B84041">
        <w:rPr>
          <w:rFonts w:ascii="Times New Roman" w:hAnsi="Times New Roman" w:cs="Times New Roman"/>
          <w:bCs/>
          <w:sz w:val="24"/>
          <w:szCs w:val="24"/>
        </w:rPr>
        <w:t>. Federal courts uniformly hold the statement must be made while the agent or employee was employed, not before the person was hired, or after the person quit or was fired.</w:t>
      </w:r>
    </w:p>
    <w:p w14:paraId="5B2A25EB" w14:textId="1A121C32" w:rsidR="00FA613F" w:rsidRPr="00B84041" w:rsidRDefault="00FA613F" w:rsidP="00404BFC">
      <w:pPr>
        <w:pStyle w:val="NoSpacing"/>
        <w:rPr>
          <w:rFonts w:ascii="Times New Roman" w:hAnsi="Times New Roman" w:cs="Times New Roman"/>
          <w:bCs/>
          <w:sz w:val="24"/>
          <w:szCs w:val="24"/>
        </w:rPr>
      </w:pPr>
    </w:p>
    <w:p w14:paraId="725E6A61" w14:textId="2B7A8703" w:rsidR="002F7D3F" w:rsidRPr="00B84041" w:rsidRDefault="00442568" w:rsidP="00404BFC">
      <w:pPr>
        <w:pStyle w:val="NoSpacing"/>
        <w:rPr>
          <w:rFonts w:ascii="Times New Roman" w:hAnsi="Times New Roman" w:cs="Times New Roman"/>
          <w:bCs/>
          <w:sz w:val="24"/>
          <w:szCs w:val="24"/>
        </w:rPr>
      </w:pPr>
      <w:r w:rsidRPr="00B84041">
        <w:rPr>
          <w:rFonts w:ascii="Times New Roman" w:hAnsi="Times New Roman" w:cs="Times New Roman"/>
          <w:bCs/>
          <w:sz w:val="24"/>
          <w:szCs w:val="24"/>
        </w:rPr>
        <w:tab/>
        <w:t xml:space="preserve">The </w:t>
      </w:r>
      <w:r w:rsidR="00E916BB" w:rsidRPr="00B84041">
        <w:rPr>
          <w:rFonts w:ascii="Times New Roman" w:hAnsi="Times New Roman" w:cs="Times New Roman"/>
          <w:bCs/>
          <w:sz w:val="24"/>
          <w:szCs w:val="24"/>
        </w:rPr>
        <w:t xml:space="preserve">subdivision’s </w:t>
      </w:r>
      <w:r w:rsidRPr="00B84041">
        <w:rPr>
          <w:rFonts w:ascii="Times New Roman" w:hAnsi="Times New Roman" w:cs="Times New Roman"/>
          <w:bCs/>
          <w:sz w:val="24"/>
          <w:szCs w:val="24"/>
        </w:rPr>
        <w:t xml:space="preserve">second sentence, reciting present law, </w:t>
      </w:r>
      <w:r w:rsidR="00885737" w:rsidRPr="00B84041">
        <w:rPr>
          <w:rFonts w:ascii="Times New Roman" w:hAnsi="Times New Roman" w:cs="Times New Roman"/>
          <w:bCs/>
          <w:sz w:val="24"/>
          <w:szCs w:val="24"/>
        </w:rPr>
        <w:t>provides</w:t>
      </w:r>
      <w:r w:rsidR="0007122C" w:rsidRPr="00B84041">
        <w:rPr>
          <w:rFonts w:ascii="Times New Roman" w:hAnsi="Times New Roman" w:cs="Times New Roman"/>
          <w:bCs/>
          <w:sz w:val="24"/>
          <w:szCs w:val="24"/>
        </w:rPr>
        <w:t xml:space="preserve"> that</w:t>
      </w:r>
      <w:r w:rsidR="00885737" w:rsidRPr="00B84041">
        <w:rPr>
          <w:rFonts w:ascii="Times New Roman" w:hAnsi="Times New Roman" w:cs="Times New Roman"/>
          <w:bCs/>
          <w:sz w:val="24"/>
          <w:szCs w:val="24"/>
        </w:rPr>
        <w:t xml:space="preserve"> authority </w:t>
      </w:r>
      <w:r w:rsidR="00F46F34" w:rsidRPr="00B84041">
        <w:rPr>
          <w:rFonts w:ascii="Times New Roman" w:hAnsi="Times New Roman" w:cs="Times New Roman"/>
          <w:bCs/>
          <w:sz w:val="24"/>
          <w:szCs w:val="24"/>
        </w:rPr>
        <w:t xml:space="preserve">may be expressly given by the </w:t>
      </w:r>
      <w:r w:rsidR="00885737" w:rsidRPr="00B84041">
        <w:rPr>
          <w:rFonts w:ascii="Times New Roman" w:hAnsi="Times New Roman" w:cs="Times New Roman"/>
          <w:sz w:val="24"/>
          <w:szCs w:val="24"/>
        </w:rPr>
        <w:t>agent’s or employee’s</w:t>
      </w:r>
      <w:r w:rsidR="00F46F34" w:rsidRPr="00B84041">
        <w:rPr>
          <w:rFonts w:ascii="Times New Roman" w:hAnsi="Times New Roman" w:cs="Times New Roman"/>
          <w:bCs/>
          <w:sz w:val="24"/>
          <w:szCs w:val="24"/>
        </w:rPr>
        <w:t xml:space="preserve"> principal or employer or implied from the scope of the </w:t>
      </w:r>
      <w:r w:rsidR="00885737" w:rsidRPr="00B84041">
        <w:rPr>
          <w:rFonts w:ascii="Times New Roman" w:hAnsi="Times New Roman" w:cs="Times New Roman"/>
          <w:bCs/>
          <w:sz w:val="24"/>
          <w:szCs w:val="24"/>
        </w:rPr>
        <w:t>agent’s or employee</w:t>
      </w:r>
      <w:r w:rsidR="00F46F34" w:rsidRPr="00B84041">
        <w:rPr>
          <w:rFonts w:ascii="Times New Roman" w:hAnsi="Times New Roman" w:cs="Times New Roman"/>
          <w:bCs/>
          <w:sz w:val="24"/>
          <w:szCs w:val="24"/>
        </w:rPr>
        <w:t>’s duties or employment</w:t>
      </w:r>
      <w:r w:rsidR="0007122C" w:rsidRPr="00B84041">
        <w:rPr>
          <w:rFonts w:ascii="Times New Roman" w:hAnsi="Times New Roman" w:cs="Times New Roman"/>
          <w:bCs/>
          <w:sz w:val="24"/>
          <w:szCs w:val="24"/>
        </w:rPr>
        <w:t xml:space="preserve"> </w:t>
      </w:r>
      <w:r w:rsidR="00072542" w:rsidRPr="00B84041">
        <w:rPr>
          <w:rFonts w:ascii="Times New Roman" w:hAnsi="Times New Roman" w:cs="Times New Roman"/>
          <w:bCs/>
          <w:sz w:val="24"/>
          <w:szCs w:val="24"/>
        </w:rPr>
        <w:t>(</w:t>
      </w:r>
      <w:r w:rsidR="00A34D7F" w:rsidRPr="00B84041">
        <w:rPr>
          <w:rFonts w:ascii="Times New Roman" w:hAnsi="Times New Roman" w:cs="Times New Roman"/>
          <w:bCs/>
          <w:i/>
          <w:sz w:val="24"/>
          <w:szCs w:val="24"/>
        </w:rPr>
        <w:t>s</w:t>
      </w:r>
      <w:r w:rsidR="00072542" w:rsidRPr="00B84041">
        <w:rPr>
          <w:rFonts w:ascii="Times New Roman" w:hAnsi="Times New Roman" w:cs="Times New Roman"/>
          <w:bCs/>
          <w:i/>
          <w:sz w:val="24"/>
          <w:szCs w:val="24"/>
        </w:rPr>
        <w:t xml:space="preserve">ee e.g. </w:t>
      </w:r>
      <w:proofErr w:type="spellStart"/>
      <w:r w:rsidR="00072542" w:rsidRPr="00B84041">
        <w:rPr>
          <w:rFonts w:ascii="Times New Roman" w:hAnsi="Times New Roman" w:cs="Times New Roman"/>
          <w:i/>
          <w:iCs/>
          <w:sz w:val="24"/>
          <w:szCs w:val="24"/>
        </w:rPr>
        <w:t>Spett</w:t>
      </w:r>
      <w:proofErr w:type="spellEnd"/>
      <w:r w:rsidR="00072542" w:rsidRPr="00B84041">
        <w:rPr>
          <w:rFonts w:ascii="Times New Roman" w:hAnsi="Times New Roman" w:cs="Times New Roman"/>
          <w:i/>
          <w:iCs/>
          <w:sz w:val="24"/>
          <w:szCs w:val="24"/>
        </w:rPr>
        <w:t xml:space="preserve"> v President Monroe Bldg. &amp; Mfg. Corp.</w:t>
      </w:r>
      <w:r w:rsidR="00A34D7F" w:rsidRPr="00B84041">
        <w:rPr>
          <w:rFonts w:ascii="Times New Roman" w:hAnsi="Times New Roman" w:cs="Times New Roman"/>
          <w:sz w:val="24"/>
          <w:szCs w:val="24"/>
        </w:rPr>
        <w:t xml:space="preserve">, </w:t>
      </w:r>
      <w:r w:rsidR="00072542" w:rsidRPr="00B84041">
        <w:rPr>
          <w:rFonts w:ascii="Times New Roman" w:hAnsi="Times New Roman" w:cs="Times New Roman"/>
          <w:sz w:val="24"/>
          <w:szCs w:val="24"/>
        </w:rPr>
        <w:t>19</w:t>
      </w:r>
      <w:r w:rsidR="00A34D7F" w:rsidRPr="00B84041">
        <w:rPr>
          <w:rFonts w:ascii="Times New Roman" w:hAnsi="Times New Roman" w:cs="Times New Roman"/>
          <w:sz w:val="24"/>
          <w:szCs w:val="24"/>
        </w:rPr>
        <w:t xml:space="preserve"> </w:t>
      </w:r>
      <w:r w:rsidR="00072542" w:rsidRPr="00B84041">
        <w:rPr>
          <w:rFonts w:ascii="Times New Roman" w:hAnsi="Times New Roman" w:cs="Times New Roman"/>
          <w:sz w:val="24"/>
          <w:szCs w:val="24"/>
        </w:rPr>
        <w:t>NY2d</w:t>
      </w:r>
      <w:r w:rsidR="00A34D7F" w:rsidRPr="00B84041">
        <w:rPr>
          <w:rFonts w:ascii="Times New Roman" w:hAnsi="Times New Roman" w:cs="Times New Roman"/>
          <w:sz w:val="24"/>
          <w:szCs w:val="24"/>
        </w:rPr>
        <w:t xml:space="preserve"> </w:t>
      </w:r>
      <w:r w:rsidR="00072542" w:rsidRPr="00B84041">
        <w:rPr>
          <w:rFonts w:ascii="Times New Roman" w:hAnsi="Times New Roman" w:cs="Times New Roman"/>
          <w:sz w:val="24"/>
          <w:szCs w:val="24"/>
        </w:rPr>
        <w:t>203, 206 [1967] [although defendant’s general foreman was not given any authority to speak on behalf of his employer, his statement was admissible against employer since he “was apparently the person who ran (his employer’s business), in whom complete managerial responsibility for the enterprise was vested”]).</w:t>
      </w:r>
      <w:r w:rsidR="00753320" w:rsidRPr="00B84041">
        <w:rPr>
          <w:rFonts w:ascii="Times New Roman" w:hAnsi="Times New Roman" w:cs="Times New Roman"/>
          <w:sz w:val="24"/>
          <w:szCs w:val="24"/>
        </w:rPr>
        <w:t xml:space="preserve"> </w:t>
      </w:r>
      <w:r w:rsidR="00072542" w:rsidRPr="00B84041">
        <w:rPr>
          <w:rFonts w:ascii="Times New Roman" w:hAnsi="Times New Roman" w:cs="Times New Roman"/>
          <w:bCs/>
          <w:sz w:val="24"/>
          <w:szCs w:val="24"/>
        </w:rPr>
        <w:t xml:space="preserve">As </w:t>
      </w:r>
      <w:proofErr w:type="spellStart"/>
      <w:r w:rsidR="002F7D3F" w:rsidRPr="00B84041">
        <w:rPr>
          <w:rFonts w:ascii="Times New Roman" w:hAnsi="Times New Roman" w:cs="Times New Roman"/>
          <w:i/>
          <w:iCs/>
          <w:sz w:val="24"/>
          <w:szCs w:val="24"/>
        </w:rPr>
        <w:t>Spett</w:t>
      </w:r>
      <w:proofErr w:type="spellEnd"/>
      <w:r w:rsidR="002F7D3F" w:rsidRPr="00B84041">
        <w:rPr>
          <w:rFonts w:ascii="Times New Roman" w:hAnsi="Times New Roman" w:cs="Times New Roman"/>
          <w:sz w:val="24"/>
          <w:szCs w:val="24"/>
        </w:rPr>
        <w:t xml:space="preserve"> recognizes, where the employee has been given extensive managerial responsibility ove</w:t>
      </w:r>
      <w:r w:rsidR="00E71DAB" w:rsidRPr="00B84041">
        <w:rPr>
          <w:rFonts w:ascii="Times New Roman" w:hAnsi="Times New Roman" w:cs="Times New Roman"/>
          <w:sz w:val="24"/>
          <w:szCs w:val="24"/>
        </w:rPr>
        <w:t>r the employer’</w:t>
      </w:r>
      <w:r w:rsidR="002F7D3F" w:rsidRPr="00B84041">
        <w:rPr>
          <w:rFonts w:ascii="Times New Roman" w:hAnsi="Times New Roman" w:cs="Times New Roman"/>
          <w:sz w:val="24"/>
          <w:szCs w:val="24"/>
        </w:rPr>
        <w:t>s business</w:t>
      </w:r>
      <w:r w:rsidR="00072542" w:rsidRPr="00B84041">
        <w:rPr>
          <w:rFonts w:ascii="Times New Roman" w:hAnsi="Times New Roman" w:cs="Times New Roman"/>
          <w:sz w:val="24"/>
          <w:szCs w:val="24"/>
        </w:rPr>
        <w:t>, speaking authority may be implied</w:t>
      </w:r>
      <w:r w:rsidR="003338E5" w:rsidRPr="00B84041">
        <w:rPr>
          <w:rFonts w:ascii="Times New Roman" w:hAnsi="Times New Roman" w:cs="Times New Roman"/>
          <w:sz w:val="24"/>
          <w:szCs w:val="24"/>
        </w:rPr>
        <w:t>.</w:t>
      </w:r>
      <w:r w:rsidR="00AB40E3" w:rsidRPr="00B84041">
        <w:rPr>
          <w:rFonts w:ascii="Times New Roman" w:hAnsi="Times New Roman" w:cs="Times New Roman"/>
          <w:sz w:val="24"/>
          <w:szCs w:val="24"/>
        </w:rPr>
        <w:t xml:space="preserve"> </w:t>
      </w:r>
      <w:r w:rsidR="002F7D3F" w:rsidRPr="00B84041">
        <w:rPr>
          <w:rFonts w:ascii="Times New Roman" w:hAnsi="Times New Roman" w:cs="Times New Roman"/>
          <w:sz w:val="24"/>
          <w:szCs w:val="24"/>
        </w:rPr>
        <w:t>Thus, implied authority to speak has been found to exist</w:t>
      </w:r>
      <w:r w:rsidR="00391E08" w:rsidRPr="00B84041">
        <w:rPr>
          <w:rFonts w:ascii="Times New Roman" w:hAnsi="Times New Roman" w:cs="Times New Roman"/>
          <w:sz w:val="24"/>
          <w:szCs w:val="24"/>
        </w:rPr>
        <w:t xml:space="preserve"> where the employee was placed “</w:t>
      </w:r>
      <w:r w:rsidR="002F7D3F" w:rsidRPr="00B84041">
        <w:rPr>
          <w:rFonts w:ascii="Times New Roman" w:hAnsi="Times New Roman" w:cs="Times New Roman"/>
          <w:sz w:val="24"/>
          <w:szCs w:val="24"/>
        </w:rPr>
        <w:t>in full charge</w:t>
      </w:r>
      <w:r w:rsidR="00391E08" w:rsidRPr="00B84041">
        <w:rPr>
          <w:rFonts w:ascii="Times New Roman" w:hAnsi="Times New Roman" w:cs="Times New Roman"/>
          <w:sz w:val="24"/>
          <w:szCs w:val="24"/>
        </w:rPr>
        <w:t>”</w:t>
      </w:r>
      <w:r w:rsidR="002F7D3F" w:rsidRPr="00B84041">
        <w:rPr>
          <w:rFonts w:ascii="Times New Roman" w:hAnsi="Times New Roman" w:cs="Times New Roman"/>
          <w:sz w:val="24"/>
          <w:szCs w:val="24"/>
        </w:rPr>
        <w:t xml:space="preserve"> of the business (</w:t>
      </w:r>
      <w:proofErr w:type="spellStart"/>
      <w:r w:rsidR="002F7D3F" w:rsidRPr="00B84041">
        <w:rPr>
          <w:rFonts w:ascii="Times New Roman" w:hAnsi="Times New Roman" w:cs="Times New Roman"/>
          <w:i/>
          <w:iCs/>
          <w:sz w:val="24"/>
          <w:szCs w:val="24"/>
        </w:rPr>
        <w:t>Stecher</w:t>
      </w:r>
      <w:proofErr w:type="spellEnd"/>
      <w:r w:rsidR="002F7D3F" w:rsidRPr="00B84041">
        <w:rPr>
          <w:rFonts w:ascii="Times New Roman" w:hAnsi="Times New Roman" w:cs="Times New Roman"/>
          <w:i/>
          <w:iCs/>
          <w:sz w:val="24"/>
          <w:szCs w:val="24"/>
        </w:rPr>
        <w:t xml:space="preserve"> Lithographic Co. v Inman</w:t>
      </w:r>
      <w:r w:rsidR="002F7D3F" w:rsidRPr="00B84041">
        <w:rPr>
          <w:rFonts w:ascii="Times New Roman" w:hAnsi="Times New Roman" w:cs="Times New Roman"/>
          <w:sz w:val="24"/>
          <w:szCs w:val="24"/>
        </w:rPr>
        <w:t>,</w:t>
      </w:r>
      <w:r w:rsidR="002F7D3F" w:rsidRPr="00B84041">
        <w:rPr>
          <w:rFonts w:ascii="Times New Roman" w:hAnsi="Times New Roman" w:cs="Times New Roman"/>
          <w:i/>
          <w:iCs/>
          <w:sz w:val="24"/>
          <w:szCs w:val="24"/>
        </w:rPr>
        <w:t xml:space="preserve"> </w:t>
      </w:r>
      <w:r w:rsidR="002F7D3F" w:rsidRPr="00B84041">
        <w:rPr>
          <w:rFonts w:ascii="Times New Roman" w:hAnsi="Times New Roman" w:cs="Times New Roman"/>
          <w:sz w:val="24"/>
          <w:szCs w:val="24"/>
        </w:rPr>
        <w:t xml:space="preserve">175 NY 124, 127 </w:t>
      </w:r>
      <w:r w:rsidR="00967BEE" w:rsidRPr="00B84041">
        <w:rPr>
          <w:rFonts w:ascii="Times New Roman" w:hAnsi="Times New Roman" w:cs="Times New Roman"/>
          <w:sz w:val="24"/>
          <w:szCs w:val="24"/>
        </w:rPr>
        <w:t>[1903])</w:t>
      </w:r>
      <w:r w:rsidR="00391E08" w:rsidRPr="00B84041">
        <w:rPr>
          <w:rFonts w:ascii="Times New Roman" w:hAnsi="Times New Roman" w:cs="Times New Roman"/>
          <w:sz w:val="24"/>
          <w:szCs w:val="24"/>
        </w:rPr>
        <w:t>; the employee was the “</w:t>
      </w:r>
      <w:r w:rsidR="002F7D3F" w:rsidRPr="00B84041">
        <w:rPr>
          <w:rFonts w:ascii="Times New Roman" w:hAnsi="Times New Roman" w:cs="Times New Roman"/>
          <w:sz w:val="24"/>
          <w:szCs w:val="24"/>
        </w:rPr>
        <w:t>general manager</w:t>
      </w:r>
      <w:r w:rsidR="00391E08" w:rsidRPr="00B84041">
        <w:rPr>
          <w:rFonts w:ascii="Times New Roman" w:hAnsi="Times New Roman" w:cs="Times New Roman"/>
          <w:sz w:val="24"/>
          <w:szCs w:val="24"/>
        </w:rPr>
        <w:t>”</w:t>
      </w:r>
      <w:r w:rsidR="002F7D3F" w:rsidRPr="00B84041">
        <w:rPr>
          <w:rFonts w:ascii="Times New Roman" w:hAnsi="Times New Roman" w:cs="Times New Roman"/>
          <w:sz w:val="24"/>
          <w:szCs w:val="24"/>
        </w:rPr>
        <w:t xml:space="preserve"> of the business (</w:t>
      </w:r>
      <w:r w:rsidR="002F7D3F" w:rsidRPr="00B84041">
        <w:rPr>
          <w:rFonts w:ascii="Times New Roman" w:hAnsi="Times New Roman" w:cs="Times New Roman"/>
          <w:i/>
          <w:iCs/>
          <w:sz w:val="24"/>
          <w:szCs w:val="24"/>
        </w:rPr>
        <w:t xml:space="preserve">Vaughn Mach. Co. v </w:t>
      </w:r>
      <w:proofErr w:type="spellStart"/>
      <w:r w:rsidR="002F7D3F" w:rsidRPr="00B84041">
        <w:rPr>
          <w:rFonts w:ascii="Times New Roman" w:hAnsi="Times New Roman" w:cs="Times New Roman"/>
          <w:i/>
          <w:iCs/>
          <w:sz w:val="24"/>
          <w:szCs w:val="24"/>
        </w:rPr>
        <w:t>Quintard</w:t>
      </w:r>
      <w:proofErr w:type="spellEnd"/>
      <w:r w:rsidR="002F7D3F" w:rsidRPr="00B84041">
        <w:rPr>
          <w:rFonts w:ascii="Times New Roman" w:hAnsi="Times New Roman" w:cs="Times New Roman"/>
          <w:sz w:val="24"/>
          <w:szCs w:val="24"/>
        </w:rPr>
        <w:t xml:space="preserve">, 165 NY 649 [1903], </w:t>
      </w:r>
      <w:proofErr w:type="spellStart"/>
      <w:r w:rsidR="002F7D3F" w:rsidRPr="00B84041">
        <w:rPr>
          <w:rFonts w:ascii="Times New Roman" w:hAnsi="Times New Roman" w:cs="Times New Roman"/>
          <w:i/>
          <w:iCs/>
          <w:sz w:val="24"/>
          <w:szCs w:val="24"/>
        </w:rPr>
        <w:t>affg</w:t>
      </w:r>
      <w:proofErr w:type="spellEnd"/>
      <w:r w:rsidR="002F7D3F" w:rsidRPr="00B84041">
        <w:rPr>
          <w:rFonts w:ascii="Times New Roman" w:hAnsi="Times New Roman" w:cs="Times New Roman"/>
          <w:sz w:val="24"/>
          <w:szCs w:val="24"/>
        </w:rPr>
        <w:t xml:space="preserve"> 37 </w:t>
      </w:r>
      <w:r w:rsidR="00967BEE" w:rsidRPr="00B84041">
        <w:rPr>
          <w:rFonts w:ascii="Times New Roman" w:hAnsi="Times New Roman" w:cs="Times New Roman"/>
          <w:sz w:val="24"/>
          <w:szCs w:val="24"/>
        </w:rPr>
        <w:t xml:space="preserve">App </w:t>
      </w:r>
      <w:proofErr w:type="spellStart"/>
      <w:r w:rsidR="00967BEE" w:rsidRPr="00B84041">
        <w:rPr>
          <w:rFonts w:ascii="Times New Roman" w:hAnsi="Times New Roman" w:cs="Times New Roman"/>
          <w:sz w:val="24"/>
          <w:szCs w:val="24"/>
        </w:rPr>
        <w:t>Div</w:t>
      </w:r>
      <w:proofErr w:type="spellEnd"/>
      <w:r w:rsidR="00967BEE" w:rsidRPr="00B84041">
        <w:rPr>
          <w:rFonts w:ascii="Times New Roman" w:hAnsi="Times New Roman" w:cs="Times New Roman"/>
          <w:sz w:val="24"/>
          <w:szCs w:val="24"/>
        </w:rPr>
        <w:t xml:space="preserve"> 368, 372 [1st Dept 1899</w:t>
      </w:r>
      <w:r w:rsidR="002F7D3F" w:rsidRPr="00B84041">
        <w:rPr>
          <w:rFonts w:ascii="Times New Roman" w:hAnsi="Times New Roman" w:cs="Times New Roman"/>
          <w:sz w:val="24"/>
          <w:szCs w:val="24"/>
        </w:rPr>
        <w:t xml:space="preserve">]); </w:t>
      </w:r>
      <w:r w:rsidR="00753320" w:rsidRPr="00B84041">
        <w:rPr>
          <w:rFonts w:ascii="Times New Roman" w:hAnsi="Times New Roman" w:cs="Times New Roman"/>
          <w:sz w:val="24"/>
          <w:szCs w:val="24"/>
        </w:rPr>
        <w:t>a</w:t>
      </w:r>
      <w:r w:rsidR="002F7D3F" w:rsidRPr="00B84041">
        <w:rPr>
          <w:rFonts w:ascii="Times New Roman" w:hAnsi="Times New Roman" w:cs="Times New Roman"/>
          <w:sz w:val="24"/>
          <w:szCs w:val="24"/>
        </w:rPr>
        <w:t>nd the employee was the superintendent of the job site or facility (</w:t>
      </w:r>
      <w:r w:rsidR="002F7D3F" w:rsidRPr="00B84041">
        <w:rPr>
          <w:rFonts w:ascii="Times New Roman" w:hAnsi="Times New Roman" w:cs="Times New Roman"/>
          <w:i/>
          <w:iCs/>
          <w:sz w:val="24"/>
          <w:szCs w:val="24"/>
        </w:rPr>
        <w:t xml:space="preserve">see </w:t>
      </w:r>
      <w:proofErr w:type="spellStart"/>
      <w:r w:rsidR="002F7D3F" w:rsidRPr="00B84041">
        <w:rPr>
          <w:rFonts w:ascii="Times New Roman" w:hAnsi="Times New Roman" w:cs="Times New Roman"/>
          <w:i/>
          <w:iCs/>
          <w:sz w:val="24"/>
          <w:szCs w:val="24"/>
        </w:rPr>
        <w:t>Brusca</w:t>
      </w:r>
      <w:proofErr w:type="spellEnd"/>
      <w:r w:rsidR="002F7D3F" w:rsidRPr="00B84041">
        <w:rPr>
          <w:rFonts w:ascii="Times New Roman" w:hAnsi="Times New Roman" w:cs="Times New Roman"/>
          <w:i/>
          <w:iCs/>
          <w:sz w:val="24"/>
          <w:szCs w:val="24"/>
        </w:rPr>
        <w:t xml:space="preserve"> v El Al Israel Airlines</w:t>
      </w:r>
      <w:r w:rsidR="002F7D3F" w:rsidRPr="00B84041">
        <w:rPr>
          <w:rFonts w:ascii="Times New Roman" w:hAnsi="Times New Roman" w:cs="Times New Roman"/>
          <w:sz w:val="24"/>
          <w:szCs w:val="24"/>
        </w:rPr>
        <w:t>, 75 AD2d 798, 800 [2d Dept 1980])</w:t>
      </w:r>
      <w:r w:rsidR="00AB40E3" w:rsidRPr="00B84041">
        <w:rPr>
          <w:rFonts w:ascii="Times New Roman" w:hAnsi="Times New Roman" w:cs="Times New Roman"/>
          <w:sz w:val="24"/>
          <w:szCs w:val="24"/>
        </w:rPr>
        <w:t xml:space="preserve">. </w:t>
      </w:r>
      <w:r w:rsidR="002F7D3F" w:rsidRPr="00B84041">
        <w:rPr>
          <w:rFonts w:ascii="Times New Roman" w:hAnsi="Times New Roman" w:cs="Times New Roman"/>
          <w:sz w:val="24"/>
          <w:szCs w:val="24"/>
        </w:rPr>
        <w:t xml:space="preserve">There are </w:t>
      </w:r>
      <w:r w:rsidR="00E20309" w:rsidRPr="00B84041">
        <w:rPr>
          <w:rFonts w:ascii="Times New Roman" w:hAnsi="Times New Roman" w:cs="Times New Roman"/>
          <w:sz w:val="24"/>
          <w:szCs w:val="24"/>
        </w:rPr>
        <w:t xml:space="preserve">cases </w:t>
      </w:r>
      <w:r w:rsidR="00E71DAB" w:rsidRPr="00B84041">
        <w:rPr>
          <w:rFonts w:ascii="Times New Roman" w:hAnsi="Times New Roman" w:cs="Times New Roman"/>
          <w:sz w:val="24"/>
          <w:szCs w:val="24"/>
        </w:rPr>
        <w:t>concluding that an employer’</w:t>
      </w:r>
      <w:r w:rsidR="002F7D3F" w:rsidRPr="00B84041">
        <w:rPr>
          <w:rFonts w:ascii="Times New Roman" w:hAnsi="Times New Roman" w:cs="Times New Roman"/>
          <w:sz w:val="24"/>
          <w:szCs w:val="24"/>
        </w:rPr>
        <w:t>s general</w:t>
      </w:r>
      <w:r w:rsidR="00E71DAB" w:rsidRPr="00B84041">
        <w:rPr>
          <w:rFonts w:ascii="Times New Roman" w:hAnsi="Times New Roman" w:cs="Times New Roman"/>
          <w:sz w:val="24"/>
          <w:szCs w:val="24"/>
        </w:rPr>
        <w:t xml:space="preserve"> manager of one of the employer’</w:t>
      </w:r>
      <w:r w:rsidR="002F7D3F" w:rsidRPr="00B84041">
        <w:rPr>
          <w:rFonts w:ascii="Times New Roman" w:hAnsi="Times New Roman" w:cs="Times New Roman"/>
          <w:sz w:val="24"/>
          <w:szCs w:val="24"/>
        </w:rPr>
        <w:t xml:space="preserve">s stores did not have implied authority from that position, </w:t>
      </w:r>
      <w:r w:rsidR="00E20309" w:rsidRPr="00B84041">
        <w:rPr>
          <w:rFonts w:ascii="Times New Roman" w:hAnsi="Times New Roman" w:cs="Times New Roman"/>
          <w:sz w:val="24"/>
          <w:szCs w:val="24"/>
        </w:rPr>
        <w:t>cases</w:t>
      </w:r>
      <w:r w:rsidR="002F7D3F" w:rsidRPr="00B84041">
        <w:rPr>
          <w:rFonts w:ascii="Times New Roman" w:hAnsi="Times New Roman" w:cs="Times New Roman"/>
          <w:sz w:val="24"/>
          <w:szCs w:val="24"/>
        </w:rPr>
        <w:t xml:space="preserve"> that apparently turn on the extent of the responsibilities given to the general manager</w:t>
      </w:r>
      <w:r w:rsidR="00AB40E3" w:rsidRPr="00B84041">
        <w:rPr>
          <w:rFonts w:ascii="Times New Roman" w:hAnsi="Times New Roman" w:cs="Times New Roman"/>
          <w:sz w:val="24"/>
          <w:szCs w:val="24"/>
        </w:rPr>
        <w:t>.</w:t>
      </w:r>
      <w:r w:rsidR="00B515F2" w:rsidRPr="00B84041">
        <w:rPr>
          <w:rFonts w:ascii="Times New Roman" w:hAnsi="Times New Roman" w:cs="Times New Roman"/>
          <w:sz w:val="24"/>
          <w:szCs w:val="24"/>
        </w:rPr>
        <w:t xml:space="preserve"> </w:t>
      </w:r>
      <w:r w:rsidR="00753320" w:rsidRPr="00B84041">
        <w:rPr>
          <w:rFonts w:ascii="Times New Roman" w:hAnsi="Times New Roman" w:cs="Times New Roman"/>
          <w:sz w:val="24"/>
          <w:szCs w:val="24"/>
        </w:rPr>
        <w:t>(</w:t>
      </w:r>
      <w:proofErr w:type="gramStart"/>
      <w:r w:rsidR="0005366D" w:rsidRPr="00B84041">
        <w:rPr>
          <w:rFonts w:ascii="Times New Roman" w:hAnsi="Times New Roman" w:cs="Times New Roman"/>
          <w:i/>
          <w:iCs/>
          <w:sz w:val="24"/>
          <w:szCs w:val="24"/>
        </w:rPr>
        <w:t>E</w:t>
      </w:r>
      <w:r w:rsidR="002F7D3F" w:rsidRPr="00B84041">
        <w:rPr>
          <w:rFonts w:ascii="Times New Roman" w:hAnsi="Times New Roman" w:cs="Times New Roman"/>
          <w:i/>
          <w:iCs/>
          <w:sz w:val="24"/>
          <w:szCs w:val="24"/>
        </w:rPr>
        <w:t>.g.</w:t>
      </w:r>
      <w:proofErr w:type="gramEnd"/>
      <w:r w:rsidR="002F7D3F" w:rsidRPr="00B84041">
        <w:rPr>
          <w:rFonts w:ascii="Times New Roman" w:hAnsi="Times New Roman" w:cs="Times New Roman"/>
          <w:i/>
          <w:iCs/>
          <w:sz w:val="24"/>
          <w:szCs w:val="24"/>
        </w:rPr>
        <w:t xml:space="preserve"> Alvarez v First Natl. Supermarkets, Inc.</w:t>
      </w:r>
      <w:r w:rsidR="002F7D3F" w:rsidRPr="00B84041">
        <w:rPr>
          <w:rFonts w:ascii="Times New Roman" w:hAnsi="Times New Roman" w:cs="Times New Roman"/>
          <w:sz w:val="24"/>
          <w:szCs w:val="24"/>
        </w:rPr>
        <w:t xml:space="preserve">, 11 AD3d 572 [2d Dept 2004]; </w:t>
      </w:r>
      <w:r w:rsidR="002F7D3F" w:rsidRPr="00B84041">
        <w:rPr>
          <w:rFonts w:ascii="Times New Roman" w:hAnsi="Times New Roman" w:cs="Times New Roman"/>
          <w:i/>
          <w:iCs/>
          <w:sz w:val="24"/>
          <w:szCs w:val="24"/>
        </w:rPr>
        <w:t>Scherer v Golub Corp.</w:t>
      </w:r>
      <w:r w:rsidR="002F7D3F" w:rsidRPr="00B84041">
        <w:rPr>
          <w:rFonts w:ascii="Times New Roman" w:hAnsi="Times New Roman" w:cs="Times New Roman"/>
          <w:sz w:val="24"/>
          <w:szCs w:val="24"/>
        </w:rPr>
        <w:t>, 101 AD3d 1286 [3d Dept 2012]</w:t>
      </w:r>
      <w:r w:rsidR="00753320" w:rsidRPr="00B84041">
        <w:rPr>
          <w:rFonts w:ascii="Times New Roman" w:hAnsi="Times New Roman" w:cs="Times New Roman"/>
          <w:sz w:val="24"/>
          <w:szCs w:val="24"/>
        </w:rPr>
        <w:t xml:space="preserve">; </w:t>
      </w:r>
      <w:r w:rsidR="00753320" w:rsidRPr="00B84041">
        <w:rPr>
          <w:rFonts w:ascii="Times New Roman" w:hAnsi="Times New Roman" w:cs="Times New Roman"/>
          <w:i/>
          <w:iCs/>
          <w:sz w:val="24"/>
          <w:szCs w:val="24"/>
        </w:rPr>
        <w:t>c</w:t>
      </w:r>
      <w:r w:rsidR="002F7D3F" w:rsidRPr="00B84041">
        <w:rPr>
          <w:rFonts w:ascii="Times New Roman" w:hAnsi="Times New Roman" w:cs="Times New Roman"/>
          <w:i/>
          <w:iCs/>
          <w:sz w:val="24"/>
          <w:szCs w:val="24"/>
        </w:rPr>
        <w:t>ompare Navedo v 250 Willis Ave. Supermarket</w:t>
      </w:r>
      <w:r w:rsidR="002F7D3F" w:rsidRPr="00B84041">
        <w:rPr>
          <w:rFonts w:ascii="Times New Roman" w:hAnsi="Times New Roman" w:cs="Times New Roman"/>
          <w:sz w:val="24"/>
          <w:szCs w:val="24"/>
        </w:rPr>
        <w:t xml:space="preserve">, 290 AD2d 246, 247 [1st Dept 2002] [implied authority present]; </w:t>
      </w:r>
      <w:r w:rsidR="002F7D3F" w:rsidRPr="00B84041">
        <w:rPr>
          <w:rFonts w:ascii="Times New Roman" w:hAnsi="Times New Roman" w:cs="Times New Roman"/>
          <w:i/>
          <w:iCs/>
          <w:sz w:val="24"/>
          <w:szCs w:val="24"/>
        </w:rPr>
        <w:t>Bransfield v Grand Union Co.</w:t>
      </w:r>
      <w:r w:rsidR="002F7D3F" w:rsidRPr="00B84041">
        <w:rPr>
          <w:rFonts w:ascii="Times New Roman" w:hAnsi="Times New Roman" w:cs="Times New Roman"/>
          <w:sz w:val="24"/>
          <w:szCs w:val="24"/>
        </w:rPr>
        <w:t xml:space="preserve">, 24 AD2d 586 [2d Dept 1965], </w:t>
      </w:r>
      <w:proofErr w:type="spellStart"/>
      <w:r w:rsidR="002F7D3F" w:rsidRPr="00B84041">
        <w:rPr>
          <w:rFonts w:ascii="Times New Roman" w:hAnsi="Times New Roman" w:cs="Times New Roman"/>
          <w:i/>
          <w:iCs/>
          <w:sz w:val="24"/>
          <w:szCs w:val="24"/>
        </w:rPr>
        <w:t>affd</w:t>
      </w:r>
      <w:proofErr w:type="spellEnd"/>
      <w:r w:rsidR="002F7D3F" w:rsidRPr="00B84041">
        <w:rPr>
          <w:rFonts w:ascii="Times New Roman" w:hAnsi="Times New Roman" w:cs="Times New Roman"/>
          <w:sz w:val="24"/>
          <w:szCs w:val="24"/>
        </w:rPr>
        <w:t xml:space="preserve"> 17 NY2d 474 [1965] [implied authority present].)</w:t>
      </w:r>
    </w:p>
    <w:p w14:paraId="2B23ED2C" w14:textId="77777777" w:rsidR="002F7D3F" w:rsidRPr="00B84041" w:rsidRDefault="002F7D3F"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iCs/>
          <w:sz w:val="24"/>
          <w:szCs w:val="24"/>
        </w:rPr>
      </w:pPr>
    </w:p>
    <w:p w14:paraId="3F94ACFF" w14:textId="08C09A28" w:rsidR="006D3959" w:rsidRPr="00B84041" w:rsidRDefault="00B93188"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Cs/>
          <w:sz w:val="24"/>
          <w:szCs w:val="24"/>
        </w:rPr>
      </w:pPr>
      <w:r w:rsidRPr="00B84041">
        <w:rPr>
          <w:rFonts w:ascii="Times New Roman" w:hAnsi="Times New Roman" w:cs="Times New Roman"/>
          <w:bCs/>
          <w:sz w:val="24"/>
          <w:szCs w:val="24"/>
        </w:rPr>
        <w:tab/>
      </w:r>
      <w:r w:rsidR="00747EB4" w:rsidRPr="00B84041">
        <w:rPr>
          <w:rFonts w:ascii="Times New Roman" w:hAnsi="Times New Roman" w:cs="Times New Roman"/>
          <w:bCs/>
          <w:sz w:val="24"/>
          <w:szCs w:val="24"/>
        </w:rPr>
        <w:t xml:space="preserve">The </w:t>
      </w:r>
      <w:r w:rsidR="00E916BB" w:rsidRPr="00B84041">
        <w:rPr>
          <w:rFonts w:ascii="Times New Roman" w:hAnsi="Times New Roman" w:cs="Times New Roman"/>
          <w:bCs/>
          <w:sz w:val="24"/>
          <w:szCs w:val="24"/>
        </w:rPr>
        <w:t xml:space="preserve">subdivision’s </w:t>
      </w:r>
      <w:r w:rsidR="00060FC3" w:rsidRPr="00B84041">
        <w:rPr>
          <w:rFonts w:ascii="Times New Roman" w:hAnsi="Times New Roman" w:cs="Times New Roman"/>
          <w:bCs/>
          <w:sz w:val="24"/>
          <w:szCs w:val="24"/>
        </w:rPr>
        <w:t xml:space="preserve">third </w:t>
      </w:r>
      <w:r w:rsidR="00747EB4" w:rsidRPr="00B84041">
        <w:rPr>
          <w:rFonts w:ascii="Times New Roman" w:hAnsi="Times New Roman" w:cs="Times New Roman"/>
          <w:bCs/>
          <w:sz w:val="24"/>
          <w:szCs w:val="24"/>
        </w:rPr>
        <w:t xml:space="preserve">sentence addresses </w:t>
      </w:r>
      <w:r w:rsidR="00DD71B3" w:rsidRPr="00B84041">
        <w:rPr>
          <w:rFonts w:ascii="Times New Roman" w:hAnsi="Times New Roman" w:cs="Times New Roman"/>
          <w:bCs/>
          <w:sz w:val="24"/>
          <w:szCs w:val="24"/>
        </w:rPr>
        <w:t xml:space="preserve">foundational requirements, specifying that the </w:t>
      </w:r>
      <w:r w:rsidR="000E7436" w:rsidRPr="00B84041">
        <w:rPr>
          <w:rFonts w:ascii="Times New Roman" w:hAnsi="Times New Roman" w:cs="Times New Roman"/>
          <w:bCs/>
          <w:sz w:val="24"/>
          <w:szCs w:val="24"/>
        </w:rPr>
        <w:t>agent’s or employee’s statement cannot be used as proof of the agency or employment relationship, or the claimed authority to make the statement, or the scope of the agency or employment relationship unless it is admissible under another exception.</w:t>
      </w:r>
      <w:r w:rsidR="00753320" w:rsidRPr="00B84041">
        <w:rPr>
          <w:rFonts w:ascii="Times New Roman" w:hAnsi="Times New Roman" w:cs="Times New Roman"/>
          <w:bCs/>
          <w:sz w:val="24"/>
          <w:szCs w:val="24"/>
        </w:rPr>
        <w:t xml:space="preserve"> </w:t>
      </w:r>
      <w:r w:rsidR="008F68EA" w:rsidRPr="00B84041">
        <w:rPr>
          <w:rFonts w:ascii="Times New Roman" w:hAnsi="Times New Roman" w:cs="Times New Roman"/>
          <w:bCs/>
          <w:sz w:val="24"/>
          <w:szCs w:val="24"/>
        </w:rPr>
        <w:t>Proof of those foundation elements must be made by independently admissible evidence, i</w:t>
      </w:r>
      <w:r w:rsidR="003338E5" w:rsidRPr="00B84041">
        <w:rPr>
          <w:rFonts w:ascii="Times New Roman" w:hAnsi="Times New Roman" w:cs="Times New Roman"/>
          <w:bCs/>
          <w:sz w:val="24"/>
          <w:szCs w:val="24"/>
        </w:rPr>
        <w:t>.</w:t>
      </w:r>
      <w:r w:rsidR="008F68EA" w:rsidRPr="00B84041">
        <w:rPr>
          <w:rFonts w:ascii="Times New Roman" w:hAnsi="Times New Roman" w:cs="Times New Roman"/>
          <w:bCs/>
          <w:sz w:val="24"/>
          <w:szCs w:val="24"/>
        </w:rPr>
        <w:t>e</w:t>
      </w:r>
      <w:r w:rsidR="003338E5" w:rsidRPr="00B84041">
        <w:rPr>
          <w:rFonts w:ascii="Times New Roman" w:hAnsi="Times New Roman" w:cs="Times New Roman"/>
          <w:bCs/>
          <w:sz w:val="24"/>
          <w:szCs w:val="24"/>
        </w:rPr>
        <w:t>.</w:t>
      </w:r>
      <w:r w:rsidR="008F68EA" w:rsidRPr="00B84041">
        <w:rPr>
          <w:rFonts w:ascii="Times New Roman" w:hAnsi="Times New Roman" w:cs="Times New Roman"/>
          <w:bCs/>
          <w:sz w:val="24"/>
          <w:szCs w:val="24"/>
        </w:rPr>
        <w:t>, evidence other than the statement being offered into evidence.</w:t>
      </w:r>
      <w:r w:rsidR="003338E5" w:rsidRPr="00B84041">
        <w:rPr>
          <w:rFonts w:ascii="Times New Roman" w:hAnsi="Times New Roman" w:cs="Times New Roman"/>
          <w:bCs/>
          <w:sz w:val="24"/>
          <w:szCs w:val="24"/>
        </w:rPr>
        <w:t xml:space="preserve"> </w:t>
      </w:r>
      <w:r w:rsidR="007B1658" w:rsidRPr="00B84041">
        <w:rPr>
          <w:rFonts w:ascii="Times New Roman" w:hAnsi="Times New Roman" w:cs="Times New Roman"/>
          <w:bCs/>
          <w:sz w:val="24"/>
          <w:szCs w:val="24"/>
        </w:rPr>
        <w:t>This requirement</w:t>
      </w:r>
      <w:r w:rsidR="00747EB4" w:rsidRPr="00B84041">
        <w:rPr>
          <w:rFonts w:ascii="Times New Roman" w:hAnsi="Times New Roman" w:cs="Times New Roman"/>
          <w:bCs/>
          <w:sz w:val="24"/>
          <w:szCs w:val="24"/>
        </w:rPr>
        <w:t xml:space="preserve"> is derived from present law governing the </w:t>
      </w:r>
      <w:r w:rsidR="003338E5" w:rsidRPr="00B84041">
        <w:rPr>
          <w:rFonts w:ascii="Times New Roman" w:hAnsi="Times New Roman" w:cs="Times New Roman"/>
          <w:bCs/>
          <w:sz w:val="24"/>
          <w:szCs w:val="24"/>
        </w:rPr>
        <w:t>“</w:t>
      </w:r>
      <w:r w:rsidR="00747EB4" w:rsidRPr="00B84041">
        <w:rPr>
          <w:rFonts w:ascii="Times New Roman" w:hAnsi="Times New Roman" w:cs="Times New Roman"/>
          <w:bCs/>
          <w:sz w:val="24"/>
          <w:szCs w:val="24"/>
        </w:rPr>
        <w:t>speaking agent</w:t>
      </w:r>
      <w:r w:rsidR="003338E5" w:rsidRPr="00B84041">
        <w:rPr>
          <w:rFonts w:ascii="Times New Roman" w:hAnsi="Times New Roman" w:cs="Times New Roman"/>
          <w:bCs/>
          <w:sz w:val="24"/>
          <w:szCs w:val="24"/>
        </w:rPr>
        <w:t>”</w:t>
      </w:r>
      <w:r w:rsidR="00747EB4" w:rsidRPr="00B84041">
        <w:rPr>
          <w:rFonts w:ascii="Times New Roman" w:hAnsi="Times New Roman" w:cs="Times New Roman"/>
          <w:bCs/>
          <w:sz w:val="24"/>
          <w:szCs w:val="24"/>
        </w:rPr>
        <w:t xml:space="preserve"> exception</w:t>
      </w:r>
      <w:r w:rsidR="00753320" w:rsidRPr="00B84041">
        <w:rPr>
          <w:rFonts w:ascii="Times New Roman" w:hAnsi="Times New Roman" w:cs="Times New Roman"/>
          <w:bCs/>
          <w:sz w:val="24"/>
          <w:szCs w:val="24"/>
        </w:rPr>
        <w:t xml:space="preserve"> </w:t>
      </w:r>
      <w:r w:rsidR="008F68EA" w:rsidRPr="00B84041">
        <w:rPr>
          <w:rFonts w:ascii="Times New Roman" w:hAnsi="Times New Roman" w:cs="Times New Roman"/>
          <w:bCs/>
          <w:sz w:val="24"/>
          <w:szCs w:val="24"/>
        </w:rPr>
        <w:t>(Martin</w:t>
      </w:r>
      <w:r w:rsidRPr="00B84041">
        <w:rPr>
          <w:rFonts w:ascii="Times New Roman" w:hAnsi="Times New Roman" w:cs="Times New Roman"/>
          <w:bCs/>
          <w:sz w:val="24"/>
          <w:szCs w:val="24"/>
        </w:rPr>
        <w:t>,</w:t>
      </w:r>
      <w:r w:rsidR="008F68EA" w:rsidRPr="00B84041">
        <w:rPr>
          <w:rFonts w:ascii="Times New Roman" w:hAnsi="Times New Roman" w:cs="Times New Roman"/>
          <w:bCs/>
          <w:sz w:val="24"/>
          <w:szCs w:val="24"/>
        </w:rPr>
        <w:t xml:space="preserve"> </w:t>
      </w:r>
      <w:r w:rsidR="00753320" w:rsidRPr="00B84041">
        <w:rPr>
          <w:rFonts w:ascii="Times New Roman" w:hAnsi="Times New Roman" w:cs="Times New Roman"/>
          <w:bCs/>
          <w:sz w:val="24"/>
          <w:szCs w:val="24"/>
        </w:rPr>
        <w:t xml:space="preserve">Capra &amp; Rossi, </w:t>
      </w:r>
      <w:r w:rsidR="008F68EA" w:rsidRPr="00B84041">
        <w:rPr>
          <w:rFonts w:ascii="Times New Roman" w:hAnsi="Times New Roman" w:cs="Times New Roman"/>
          <w:bCs/>
          <w:sz w:val="24"/>
          <w:szCs w:val="24"/>
        </w:rPr>
        <w:t>NY</w:t>
      </w:r>
      <w:r w:rsidR="002922A9" w:rsidRPr="00B84041">
        <w:rPr>
          <w:rFonts w:ascii="Times New Roman" w:hAnsi="Times New Roman" w:cs="Times New Roman"/>
          <w:bCs/>
          <w:sz w:val="24"/>
          <w:szCs w:val="24"/>
        </w:rPr>
        <w:t xml:space="preserve"> </w:t>
      </w:r>
      <w:r w:rsidR="008F68EA" w:rsidRPr="00B84041">
        <w:rPr>
          <w:rFonts w:ascii="Times New Roman" w:hAnsi="Times New Roman" w:cs="Times New Roman"/>
          <w:bCs/>
          <w:sz w:val="24"/>
          <w:szCs w:val="24"/>
        </w:rPr>
        <w:t xml:space="preserve">Evidence </w:t>
      </w:r>
      <w:r w:rsidR="002922A9" w:rsidRPr="00B84041">
        <w:rPr>
          <w:rFonts w:ascii="Times New Roman" w:hAnsi="Times New Roman" w:cs="Times New Roman"/>
          <w:bCs/>
          <w:sz w:val="24"/>
          <w:szCs w:val="24"/>
        </w:rPr>
        <w:t>Handbook</w:t>
      </w:r>
      <w:r w:rsidR="008F68EA" w:rsidRPr="00B84041">
        <w:rPr>
          <w:rFonts w:ascii="Times New Roman" w:hAnsi="Times New Roman" w:cs="Times New Roman"/>
          <w:bCs/>
          <w:sz w:val="24"/>
          <w:szCs w:val="24"/>
        </w:rPr>
        <w:t xml:space="preserve"> </w:t>
      </w:r>
      <w:r w:rsidR="008F68EA" w:rsidRPr="00B84041">
        <w:rPr>
          <w:rFonts w:ascii="Times New Roman" w:hAnsi="Times New Roman" w:cs="Times New Roman"/>
          <w:sz w:val="24"/>
          <w:szCs w:val="24"/>
        </w:rPr>
        <w:t>§</w:t>
      </w:r>
      <w:r w:rsidR="002922A9" w:rsidRPr="00B84041">
        <w:rPr>
          <w:rFonts w:ascii="Times New Roman" w:hAnsi="Times New Roman" w:cs="Times New Roman"/>
          <w:sz w:val="24"/>
          <w:szCs w:val="24"/>
        </w:rPr>
        <w:t xml:space="preserve"> </w:t>
      </w:r>
      <w:r w:rsidR="008F68EA" w:rsidRPr="00B84041">
        <w:rPr>
          <w:rFonts w:ascii="Times New Roman" w:hAnsi="Times New Roman" w:cs="Times New Roman"/>
          <w:bCs/>
          <w:sz w:val="24"/>
          <w:szCs w:val="24"/>
        </w:rPr>
        <w:t>8.3.2</w:t>
      </w:r>
      <w:r w:rsidR="002922A9" w:rsidRPr="00B84041">
        <w:rPr>
          <w:rFonts w:ascii="Times New Roman" w:hAnsi="Times New Roman" w:cs="Times New Roman"/>
          <w:bCs/>
          <w:sz w:val="24"/>
          <w:szCs w:val="24"/>
        </w:rPr>
        <w:t xml:space="preserve"> [2d ed]</w:t>
      </w:r>
      <w:r w:rsidR="008F68EA" w:rsidRPr="00B84041">
        <w:rPr>
          <w:rFonts w:ascii="Times New Roman" w:hAnsi="Times New Roman" w:cs="Times New Roman"/>
          <w:bCs/>
          <w:sz w:val="24"/>
          <w:szCs w:val="24"/>
        </w:rPr>
        <w:t xml:space="preserve">). </w:t>
      </w:r>
      <w:r w:rsidR="00747EB4" w:rsidRPr="00B84041">
        <w:rPr>
          <w:rFonts w:ascii="Times New Roman" w:hAnsi="Times New Roman" w:cs="Times New Roman"/>
          <w:bCs/>
          <w:sz w:val="24"/>
          <w:szCs w:val="24"/>
        </w:rPr>
        <w:t xml:space="preserve">No principled reason suggests that it should not also apply to the newly created exception. </w:t>
      </w:r>
      <w:r w:rsidR="00857C69" w:rsidRPr="00B84041">
        <w:rPr>
          <w:rFonts w:ascii="Times New Roman" w:hAnsi="Times New Roman" w:cs="Times New Roman"/>
          <w:sz w:val="24"/>
          <w:szCs w:val="24"/>
        </w:rPr>
        <w:t>Of note, F</w:t>
      </w:r>
      <w:r w:rsidR="002922A9" w:rsidRPr="00B84041">
        <w:rPr>
          <w:rFonts w:ascii="Times New Roman" w:hAnsi="Times New Roman" w:cs="Times New Roman"/>
          <w:sz w:val="24"/>
          <w:szCs w:val="24"/>
        </w:rPr>
        <w:t xml:space="preserve">ederal </w:t>
      </w:r>
      <w:r w:rsidR="00857C69" w:rsidRPr="00B84041">
        <w:rPr>
          <w:rFonts w:ascii="Times New Roman" w:hAnsi="Times New Roman" w:cs="Times New Roman"/>
          <w:sz w:val="24"/>
          <w:szCs w:val="24"/>
        </w:rPr>
        <w:t>R</w:t>
      </w:r>
      <w:r w:rsidR="002922A9" w:rsidRPr="00B84041">
        <w:rPr>
          <w:rFonts w:ascii="Times New Roman" w:hAnsi="Times New Roman" w:cs="Times New Roman"/>
          <w:sz w:val="24"/>
          <w:szCs w:val="24"/>
        </w:rPr>
        <w:t xml:space="preserve">ules of </w:t>
      </w:r>
      <w:r w:rsidR="00857C69" w:rsidRPr="00B84041">
        <w:rPr>
          <w:rFonts w:ascii="Times New Roman" w:hAnsi="Times New Roman" w:cs="Times New Roman"/>
          <w:sz w:val="24"/>
          <w:szCs w:val="24"/>
        </w:rPr>
        <w:t>E</w:t>
      </w:r>
      <w:r w:rsidR="002922A9" w:rsidRPr="00B84041">
        <w:rPr>
          <w:rFonts w:ascii="Times New Roman" w:hAnsi="Times New Roman" w:cs="Times New Roman"/>
          <w:sz w:val="24"/>
          <w:szCs w:val="24"/>
        </w:rPr>
        <w:t xml:space="preserve">vidence rule </w:t>
      </w:r>
      <w:r w:rsidR="00857C69" w:rsidRPr="00B84041">
        <w:rPr>
          <w:rFonts w:ascii="Times New Roman" w:hAnsi="Times New Roman" w:cs="Times New Roman"/>
          <w:sz w:val="24"/>
          <w:szCs w:val="24"/>
        </w:rPr>
        <w:t>801</w:t>
      </w:r>
      <w:r w:rsidR="002922A9" w:rsidRPr="00B84041">
        <w:rPr>
          <w:rFonts w:ascii="Times New Roman" w:hAnsi="Times New Roman" w:cs="Times New Roman"/>
          <w:sz w:val="24"/>
          <w:szCs w:val="24"/>
        </w:rPr>
        <w:t xml:space="preserve"> </w:t>
      </w:r>
      <w:r w:rsidR="00857C69" w:rsidRPr="00B84041">
        <w:rPr>
          <w:rFonts w:ascii="Times New Roman" w:hAnsi="Times New Roman" w:cs="Times New Roman"/>
          <w:sz w:val="24"/>
          <w:szCs w:val="24"/>
        </w:rPr>
        <w:t>(d)</w:t>
      </w:r>
      <w:r w:rsidR="002922A9" w:rsidRPr="00B84041">
        <w:rPr>
          <w:rFonts w:ascii="Times New Roman" w:hAnsi="Times New Roman" w:cs="Times New Roman"/>
          <w:sz w:val="24"/>
          <w:szCs w:val="24"/>
        </w:rPr>
        <w:t xml:space="preserve"> </w:t>
      </w:r>
      <w:r w:rsidR="00857C69" w:rsidRPr="00B84041">
        <w:rPr>
          <w:rFonts w:ascii="Times New Roman" w:hAnsi="Times New Roman" w:cs="Times New Roman"/>
          <w:sz w:val="24"/>
          <w:szCs w:val="24"/>
        </w:rPr>
        <w:t>(2)</w:t>
      </w:r>
      <w:r w:rsidR="006D3959" w:rsidRPr="00B84041">
        <w:rPr>
          <w:rFonts w:ascii="Times New Roman" w:hAnsi="Times New Roman" w:cs="Times New Roman"/>
          <w:sz w:val="24"/>
          <w:szCs w:val="24"/>
        </w:rPr>
        <w:t xml:space="preserve"> provides that the agent</w:t>
      </w:r>
      <w:r w:rsidR="00931F11" w:rsidRPr="00B84041">
        <w:rPr>
          <w:rFonts w:ascii="Times New Roman" w:hAnsi="Times New Roman" w:cs="Times New Roman"/>
          <w:sz w:val="24"/>
          <w:szCs w:val="24"/>
        </w:rPr>
        <w:t>’</w:t>
      </w:r>
      <w:r w:rsidR="006D3959" w:rsidRPr="00B84041">
        <w:rPr>
          <w:rFonts w:ascii="Times New Roman" w:hAnsi="Times New Roman" w:cs="Times New Roman"/>
          <w:sz w:val="24"/>
          <w:szCs w:val="24"/>
        </w:rPr>
        <w:t>s or employee’s statement may be considered along with other evidence to establish the agency relationship.</w:t>
      </w:r>
    </w:p>
    <w:p w14:paraId="7A0AA7DC" w14:textId="77777777" w:rsidR="0049437B" w:rsidRPr="00B84041" w:rsidRDefault="0049437B"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45B4F24" w14:textId="2F0D02F3" w:rsidR="006D3959" w:rsidRPr="00B84041" w:rsidRDefault="00404BFC" w:rsidP="00404BFC">
      <w:pPr>
        <w:pStyle w:val="NoSpacing"/>
        <w:tabs>
          <w:tab w:val="left" w:pos="720"/>
        </w:tabs>
        <w:rPr>
          <w:rFonts w:ascii="Times New Roman" w:hAnsi="Times New Roman" w:cs="Times New Roman"/>
          <w:bCs/>
          <w:sz w:val="24"/>
          <w:szCs w:val="24"/>
        </w:rPr>
      </w:pPr>
      <w:r w:rsidRPr="00B84041">
        <w:rPr>
          <w:rFonts w:ascii="Times New Roman" w:hAnsi="Times New Roman" w:cs="Times New Roman"/>
          <w:bCs/>
          <w:sz w:val="24"/>
          <w:szCs w:val="24"/>
        </w:rPr>
        <w:tab/>
      </w:r>
      <w:r w:rsidR="00FA613F" w:rsidRPr="00B84041">
        <w:rPr>
          <w:rFonts w:ascii="Times New Roman" w:hAnsi="Times New Roman" w:cs="Times New Roman"/>
          <w:bCs/>
          <w:sz w:val="24"/>
          <w:szCs w:val="24"/>
        </w:rPr>
        <w:t>A</w:t>
      </w:r>
      <w:r w:rsidR="0049437B" w:rsidRPr="00B84041">
        <w:rPr>
          <w:rFonts w:ascii="Times New Roman" w:hAnsi="Times New Roman" w:cs="Times New Roman"/>
          <w:bCs/>
          <w:sz w:val="24"/>
          <w:szCs w:val="24"/>
        </w:rPr>
        <w:t xml:space="preserve">n agent’s or employee’s lack of personal knowledge </w:t>
      </w:r>
      <w:r w:rsidR="006D3959" w:rsidRPr="00B84041">
        <w:rPr>
          <w:rFonts w:ascii="Times New Roman" w:hAnsi="Times New Roman" w:cs="Times New Roman"/>
          <w:bCs/>
          <w:sz w:val="24"/>
          <w:szCs w:val="24"/>
        </w:rPr>
        <w:t xml:space="preserve">of the facts underlying </w:t>
      </w:r>
      <w:r w:rsidR="0049437B" w:rsidRPr="00B84041">
        <w:rPr>
          <w:rFonts w:ascii="Times New Roman" w:hAnsi="Times New Roman" w:cs="Times New Roman"/>
          <w:bCs/>
          <w:sz w:val="24"/>
          <w:szCs w:val="24"/>
        </w:rPr>
        <w:t xml:space="preserve">an otherwise admissible </w:t>
      </w:r>
      <w:r w:rsidR="006D3959" w:rsidRPr="00B84041">
        <w:rPr>
          <w:rFonts w:ascii="Times New Roman" w:hAnsi="Times New Roman" w:cs="Times New Roman"/>
          <w:bCs/>
          <w:sz w:val="24"/>
          <w:szCs w:val="24"/>
        </w:rPr>
        <w:t xml:space="preserve">statement </w:t>
      </w:r>
      <w:r w:rsidR="0049437B" w:rsidRPr="00B84041">
        <w:rPr>
          <w:rFonts w:ascii="Times New Roman" w:hAnsi="Times New Roman" w:cs="Times New Roman"/>
          <w:bCs/>
          <w:sz w:val="24"/>
          <w:szCs w:val="24"/>
        </w:rPr>
        <w:t xml:space="preserve">does not </w:t>
      </w:r>
      <w:r w:rsidR="00FA613F" w:rsidRPr="00B84041">
        <w:rPr>
          <w:rFonts w:ascii="Times New Roman" w:hAnsi="Times New Roman" w:cs="Times New Roman"/>
          <w:bCs/>
          <w:sz w:val="24"/>
          <w:szCs w:val="24"/>
        </w:rPr>
        <w:t xml:space="preserve">under existing New York law </w:t>
      </w:r>
      <w:r w:rsidR="0049437B" w:rsidRPr="00B84041">
        <w:rPr>
          <w:rFonts w:ascii="Times New Roman" w:hAnsi="Times New Roman" w:cs="Times New Roman"/>
          <w:bCs/>
          <w:sz w:val="24"/>
          <w:szCs w:val="24"/>
        </w:rPr>
        <w:t>preclude the statement’s admissibility</w:t>
      </w:r>
      <w:r w:rsidR="00FA613F" w:rsidRPr="00B84041">
        <w:rPr>
          <w:rFonts w:ascii="Times New Roman" w:hAnsi="Times New Roman" w:cs="Times New Roman"/>
          <w:bCs/>
          <w:sz w:val="24"/>
          <w:szCs w:val="24"/>
        </w:rPr>
        <w:t xml:space="preserve"> </w:t>
      </w:r>
      <w:r w:rsidR="00BC2D95" w:rsidRPr="00B84041">
        <w:rPr>
          <w:rFonts w:ascii="Times New Roman" w:hAnsi="Times New Roman" w:cs="Times New Roman"/>
          <w:bCs/>
          <w:sz w:val="24"/>
          <w:szCs w:val="24"/>
        </w:rPr>
        <w:t>(Martin</w:t>
      </w:r>
      <w:r w:rsidR="002922A9" w:rsidRPr="00B84041">
        <w:rPr>
          <w:rFonts w:ascii="Times New Roman" w:hAnsi="Times New Roman" w:cs="Times New Roman"/>
          <w:bCs/>
          <w:sz w:val="24"/>
          <w:szCs w:val="24"/>
        </w:rPr>
        <w:t>, Capr</w:t>
      </w:r>
      <w:r w:rsidR="00E420CB" w:rsidRPr="00B84041">
        <w:rPr>
          <w:rFonts w:ascii="Times New Roman" w:hAnsi="Times New Roman" w:cs="Times New Roman"/>
          <w:bCs/>
          <w:sz w:val="24"/>
          <w:szCs w:val="24"/>
        </w:rPr>
        <w:t>a</w:t>
      </w:r>
      <w:r w:rsidR="002922A9" w:rsidRPr="00B84041">
        <w:rPr>
          <w:rFonts w:ascii="Times New Roman" w:hAnsi="Times New Roman" w:cs="Times New Roman"/>
          <w:bCs/>
          <w:sz w:val="24"/>
          <w:szCs w:val="24"/>
        </w:rPr>
        <w:t xml:space="preserve"> &amp; Rossi</w:t>
      </w:r>
      <w:r w:rsidR="00BC2D95" w:rsidRPr="00B84041">
        <w:rPr>
          <w:rFonts w:ascii="Times New Roman" w:hAnsi="Times New Roman" w:cs="Times New Roman"/>
          <w:bCs/>
          <w:sz w:val="24"/>
          <w:szCs w:val="24"/>
        </w:rPr>
        <w:t xml:space="preserve">, </w:t>
      </w:r>
      <w:r w:rsidR="00BC2D95" w:rsidRPr="00B84041">
        <w:rPr>
          <w:rFonts w:ascii="Times New Roman" w:hAnsi="Times New Roman" w:cs="Times New Roman"/>
          <w:bCs/>
          <w:i/>
          <w:iCs/>
          <w:sz w:val="24"/>
          <w:szCs w:val="24"/>
        </w:rPr>
        <w:t>supra</w:t>
      </w:r>
      <w:r w:rsidR="00877AA3" w:rsidRPr="00B84041">
        <w:rPr>
          <w:rFonts w:ascii="Times New Roman" w:hAnsi="Times New Roman" w:cs="Times New Roman"/>
          <w:bCs/>
          <w:i/>
          <w:iCs/>
          <w:sz w:val="24"/>
          <w:szCs w:val="24"/>
        </w:rPr>
        <w:t xml:space="preserve"> </w:t>
      </w:r>
      <w:r w:rsidR="00877AA3" w:rsidRPr="00B84041">
        <w:rPr>
          <w:rFonts w:ascii="Times New Roman" w:hAnsi="Times New Roman" w:cs="Times New Roman"/>
          <w:bCs/>
          <w:sz w:val="24"/>
          <w:szCs w:val="24"/>
        </w:rPr>
        <w:t>at</w:t>
      </w:r>
      <w:r w:rsidR="001F15CD" w:rsidRPr="00B84041">
        <w:rPr>
          <w:rFonts w:ascii="Times New Roman" w:hAnsi="Times New Roman" w:cs="Times New Roman"/>
          <w:bCs/>
          <w:sz w:val="24"/>
          <w:szCs w:val="24"/>
        </w:rPr>
        <w:t xml:space="preserve"> </w:t>
      </w:r>
      <w:r w:rsidR="00BC2D95" w:rsidRPr="00B84041">
        <w:rPr>
          <w:rFonts w:ascii="Times New Roman" w:hAnsi="Times New Roman" w:cs="Times New Roman"/>
          <w:bCs/>
          <w:sz w:val="24"/>
          <w:szCs w:val="24"/>
        </w:rPr>
        <w:t xml:space="preserve">715; </w:t>
      </w:r>
      <w:r w:rsidR="00BC2D95" w:rsidRPr="00B84041">
        <w:rPr>
          <w:rFonts w:ascii="Times New Roman" w:hAnsi="Times New Roman" w:cs="Times New Roman"/>
          <w:bCs/>
          <w:i/>
          <w:iCs/>
          <w:sz w:val="24"/>
          <w:szCs w:val="24"/>
        </w:rPr>
        <w:t>see also</w:t>
      </w:r>
      <w:r w:rsidR="00BC2D95" w:rsidRPr="00B84041">
        <w:rPr>
          <w:rFonts w:ascii="Times New Roman" w:hAnsi="Times New Roman" w:cs="Times New Roman"/>
          <w:bCs/>
          <w:sz w:val="24"/>
          <w:szCs w:val="24"/>
        </w:rPr>
        <w:t xml:space="preserve"> </w:t>
      </w:r>
      <w:r w:rsidR="0049437B" w:rsidRPr="00B84041">
        <w:rPr>
          <w:rFonts w:ascii="Times New Roman" w:hAnsi="Times New Roman" w:cs="Times New Roman"/>
          <w:bCs/>
          <w:i/>
          <w:iCs/>
          <w:sz w:val="24"/>
          <w:szCs w:val="24"/>
        </w:rPr>
        <w:t>Reed</w:t>
      </w:r>
      <w:r w:rsidR="0049437B" w:rsidRPr="00B84041">
        <w:rPr>
          <w:rFonts w:ascii="Times New Roman" w:hAnsi="Times New Roman" w:cs="Times New Roman"/>
          <w:bCs/>
          <w:sz w:val="24"/>
          <w:szCs w:val="24"/>
        </w:rPr>
        <w:t>, 160 NY at 341).</w:t>
      </w:r>
    </w:p>
    <w:p w14:paraId="336B1D15" w14:textId="77777777" w:rsidR="0049437B" w:rsidRPr="00B84041" w:rsidRDefault="0049437B" w:rsidP="00404BFC">
      <w:pPr>
        <w:pStyle w:val="NoSpacing"/>
        <w:rPr>
          <w:rFonts w:ascii="Times New Roman" w:hAnsi="Times New Roman" w:cs="Times New Roman"/>
          <w:bCs/>
          <w:sz w:val="24"/>
          <w:szCs w:val="24"/>
        </w:rPr>
      </w:pPr>
    </w:p>
    <w:p w14:paraId="4ACC94C8" w14:textId="740CC42E" w:rsidR="002F7D3F" w:rsidRPr="00B84041" w:rsidRDefault="00391E08"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B84041">
        <w:rPr>
          <w:rFonts w:ascii="Times New Roman" w:hAnsi="Times New Roman" w:cs="Times New Roman"/>
          <w:sz w:val="24"/>
          <w:szCs w:val="24"/>
        </w:rPr>
        <w:tab/>
      </w:r>
      <w:r w:rsidR="002F7D3F" w:rsidRPr="00B84041">
        <w:rPr>
          <w:rFonts w:ascii="Times New Roman" w:hAnsi="Times New Roman" w:cs="Times New Roman"/>
          <w:sz w:val="24"/>
          <w:szCs w:val="24"/>
        </w:rPr>
        <w:t>This rule does not bar the admission of an employee</w:t>
      </w:r>
      <w:r w:rsidRPr="00B84041">
        <w:rPr>
          <w:rFonts w:ascii="Times New Roman" w:hAnsi="Times New Roman" w:cs="Times New Roman"/>
          <w:sz w:val="24"/>
          <w:szCs w:val="24"/>
        </w:rPr>
        <w:t>’</w:t>
      </w:r>
      <w:r w:rsidR="002F7D3F" w:rsidRPr="00B84041">
        <w:rPr>
          <w:rFonts w:ascii="Times New Roman" w:hAnsi="Times New Roman" w:cs="Times New Roman"/>
          <w:sz w:val="24"/>
          <w:szCs w:val="24"/>
        </w:rPr>
        <w:t xml:space="preserve">s statement </w:t>
      </w:r>
      <w:r w:rsidR="001251D0" w:rsidRPr="00B84041">
        <w:rPr>
          <w:rFonts w:ascii="Times New Roman" w:hAnsi="Times New Roman" w:cs="Times New Roman"/>
          <w:sz w:val="24"/>
          <w:szCs w:val="24"/>
        </w:rPr>
        <w:t>that</w:t>
      </w:r>
      <w:r w:rsidR="002F7D3F" w:rsidRPr="00B84041">
        <w:rPr>
          <w:rFonts w:ascii="Times New Roman" w:hAnsi="Times New Roman" w:cs="Times New Roman"/>
          <w:sz w:val="24"/>
          <w:szCs w:val="24"/>
        </w:rPr>
        <w:t xml:space="preserve"> is admissible on other grounds</w:t>
      </w:r>
      <w:r w:rsidR="00AB40E3" w:rsidRPr="00B84041">
        <w:rPr>
          <w:rFonts w:ascii="Times New Roman" w:hAnsi="Times New Roman" w:cs="Times New Roman"/>
          <w:sz w:val="24"/>
          <w:szCs w:val="24"/>
        </w:rPr>
        <w:t>.</w:t>
      </w:r>
      <w:r w:rsidR="00AB40E3" w:rsidRPr="00B84041">
        <w:rPr>
          <w:rFonts w:ascii="Times New Roman" w:hAnsi="Times New Roman" w:cs="Times New Roman"/>
          <w:i/>
          <w:iCs/>
          <w:sz w:val="24"/>
          <w:szCs w:val="24"/>
        </w:rPr>
        <w:t xml:space="preserve"> </w:t>
      </w:r>
      <w:r w:rsidR="002F7D3F" w:rsidRPr="00B84041">
        <w:rPr>
          <w:rFonts w:ascii="Times New Roman" w:hAnsi="Times New Roman" w:cs="Times New Roman"/>
          <w:sz w:val="24"/>
          <w:szCs w:val="24"/>
        </w:rPr>
        <w:t>See, for example, the rules on declaration against interest (</w:t>
      </w:r>
      <w:r w:rsidR="002F7D3F" w:rsidRPr="00B84041">
        <w:rPr>
          <w:rFonts w:ascii="Times New Roman" w:hAnsi="Times New Roman" w:cs="Times New Roman"/>
          <w:i/>
          <w:iCs/>
          <w:sz w:val="24"/>
          <w:szCs w:val="24"/>
        </w:rPr>
        <w:t>Kelleher v F.M.E. Auto Leasing Corp.</w:t>
      </w:r>
      <w:r w:rsidR="002F7D3F" w:rsidRPr="00B84041">
        <w:rPr>
          <w:rFonts w:ascii="Times New Roman" w:hAnsi="Times New Roman" w:cs="Times New Roman"/>
          <w:sz w:val="24"/>
          <w:szCs w:val="24"/>
        </w:rPr>
        <w:t>, 192 AD2d 581, 583 [2d Dept 1993]); excited utterance (</w:t>
      </w:r>
      <w:r w:rsidR="002F7D3F" w:rsidRPr="00B84041">
        <w:rPr>
          <w:rFonts w:ascii="Times New Roman" w:hAnsi="Times New Roman" w:cs="Times New Roman"/>
          <w:i/>
          <w:iCs/>
          <w:sz w:val="24"/>
          <w:szCs w:val="24"/>
        </w:rPr>
        <w:t>Ty</w:t>
      </w:r>
      <w:r w:rsidR="001F15CD" w:rsidRPr="00B84041">
        <w:rPr>
          <w:rFonts w:ascii="Times New Roman" w:hAnsi="Times New Roman" w:cs="Times New Roman"/>
          <w:i/>
          <w:iCs/>
          <w:sz w:val="24"/>
          <w:szCs w:val="24"/>
        </w:rPr>
        <w:t>r</w:t>
      </w:r>
      <w:r w:rsidR="002F7D3F" w:rsidRPr="00B84041">
        <w:rPr>
          <w:rFonts w:ascii="Times New Roman" w:hAnsi="Times New Roman" w:cs="Times New Roman"/>
          <w:i/>
          <w:iCs/>
          <w:sz w:val="24"/>
          <w:szCs w:val="24"/>
        </w:rPr>
        <w:t>rell</w:t>
      </w:r>
      <w:r w:rsidR="002F7D3F" w:rsidRPr="00B84041">
        <w:rPr>
          <w:rFonts w:ascii="Times New Roman" w:hAnsi="Times New Roman" w:cs="Times New Roman"/>
          <w:sz w:val="24"/>
          <w:szCs w:val="24"/>
        </w:rPr>
        <w:t>, 97 NY2d at 652 [recognizing potential but finding insufficient foundation for its admissibility]); and verbal act (</w:t>
      </w:r>
      <w:proofErr w:type="spellStart"/>
      <w:r w:rsidR="002F7D3F" w:rsidRPr="00B84041">
        <w:rPr>
          <w:rFonts w:ascii="Times New Roman" w:hAnsi="Times New Roman" w:cs="Times New Roman"/>
          <w:i/>
          <w:iCs/>
          <w:sz w:val="24"/>
          <w:szCs w:val="24"/>
        </w:rPr>
        <w:t>Giardino</w:t>
      </w:r>
      <w:proofErr w:type="spellEnd"/>
      <w:r w:rsidR="002F7D3F" w:rsidRPr="00B84041">
        <w:rPr>
          <w:rFonts w:ascii="Times New Roman" w:hAnsi="Times New Roman" w:cs="Times New Roman"/>
          <w:i/>
          <w:iCs/>
          <w:sz w:val="24"/>
          <w:szCs w:val="24"/>
        </w:rPr>
        <w:t xml:space="preserve"> v </w:t>
      </w:r>
      <w:proofErr w:type="spellStart"/>
      <w:r w:rsidR="002F7D3F" w:rsidRPr="00B84041">
        <w:rPr>
          <w:rFonts w:ascii="Times New Roman" w:hAnsi="Times New Roman" w:cs="Times New Roman"/>
          <w:i/>
          <w:iCs/>
          <w:sz w:val="24"/>
          <w:szCs w:val="24"/>
        </w:rPr>
        <w:t>Beranbaum</w:t>
      </w:r>
      <w:proofErr w:type="spellEnd"/>
      <w:r w:rsidR="002F7D3F" w:rsidRPr="00B84041">
        <w:rPr>
          <w:rFonts w:ascii="Times New Roman" w:hAnsi="Times New Roman" w:cs="Times New Roman"/>
          <w:sz w:val="24"/>
          <w:szCs w:val="24"/>
        </w:rPr>
        <w:t>, 279 AD2d 282 [1st Dept 2001]).</w:t>
      </w:r>
    </w:p>
    <w:p w14:paraId="6E813BC7" w14:textId="6EDF3594" w:rsidR="00690D84" w:rsidRPr="00B84041" w:rsidRDefault="00690D84"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026BB0A" w14:textId="4E7D5AD4" w:rsidR="00690D84" w:rsidRPr="00B84041" w:rsidRDefault="00690D84"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B84041">
        <w:rPr>
          <w:rFonts w:ascii="Times New Roman" w:hAnsi="Times New Roman" w:cs="Times New Roman"/>
          <w:sz w:val="24"/>
          <w:szCs w:val="24"/>
        </w:rPr>
        <w:tab/>
      </w:r>
      <w:bookmarkStart w:id="4" w:name="_Hlk103677080"/>
      <w:r w:rsidRPr="00B84041">
        <w:rPr>
          <w:rFonts w:ascii="Times New Roman" w:hAnsi="Times New Roman" w:cs="Times New Roman"/>
          <w:sz w:val="24"/>
          <w:szCs w:val="24"/>
        </w:rPr>
        <w:t xml:space="preserve">For the rule on </w:t>
      </w:r>
      <w:r w:rsidR="00D96BDE" w:rsidRPr="00B84041">
        <w:rPr>
          <w:rFonts w:ascii="Times New Roman" w:hAnsi="Times New Roman" w:cs="Times New Roman"/>
          <w:sz w:val="24"/>
          <w:szCs w:val="24"/>
        </w:rPr>
        <w:t>“</w:t>
      </w:r>
      <w:r w:rsidRPr="00B84041">
        <w:rPr>
          <w:rFonts w:ascii="Times New Roman" w:hAnsi="Times New Roman" w:cs="Times New Roman"/>
          <w:sz w:val="24"/>
          <w:szCs w:val="24"/>
        </w:rPr>
        <w:t>informal judicial admissions</w:t>
      </w:r>
      <w:r w:rsidR="00D96BDE" w:rsidRPr="00B84041">
        <w:rPr>
          <w:rFonts w:ascii="Times New Roman" w:hAnsi="Times New Roman" w:cs="Times New Roman"/>
          <w:sz w:val="24"/>
          <w:szCs w:val="24"/>
        </w:rPr>
        <w:t>”</w:t>
      </w:r>
      <w:r w:rsidRPr="00B84041">
        <w:rPr>
          <w:rFonts w:ascii="Times New Roman" w:hAnsi="Times New Roman" w:cs="Times New Roman"/>
          <w:sz w:val="24"/>
          <w:szCs w:val="24"/>
        </w:rPr>
        <w:t xml:space="preserve"> and </w:t>
      </w:r>
      <w:r w:rsidR="00D96BDE" w:rsidRPr="00B84041">
        <w:rPr>
          <w:rFonts w:ascii="Times New Roman" w:hAnsi="Times New Roman" w:cs="Times New Roman"/>
          <w:sz w:val="24"/>
          <w:szCs w:val="24"/>
        </w:rPr>
        <w:t>“</w:t>
      </w:r>
      <w:r w:rsidRPr="00B84041">
        <w:rPr>
          <w:rFonts w:ascii="Times New Roman" w:hAnsi="Times New Roman" w:cs="Times New Roman"/>
          <w:sz w:val="24"/>
          <w:szCs w:val="24"/>
        </w:rPr>
        <w:t>formal judicial admissions</w:t>
      </w:r>
      <w:r w:rsidR="00D96BDE" w:rsidRPr="00B84041">
        <w:rPr>
          <w:rFonts w:ascii="Times New Roman" w:hAnsi="Times New Roman" w:cs="Times New Roman"/>
          <w:sz w:val="24"/>
          <w:szCs w:val="24"/>
        </w:rPr>
        <w:t>”</w:t>
      </w:r>
      <w:r w:rsidRPr="00B84041">
        <w:rPr>
          <w:rFonts w:ascii="Times New Roman" w:hAnsi="Times New Roman" w:cs="Times New Roman"/>
          <w:sz w:val="24"/>
          <w:szCs w:val="24"/>
        </w:rPr>
        <w:t xml:space="preserve"> by a party see</w:t>
      </w:r>
      <w:r w:rsidR="00D96BDE" w:rsidRPr="00B84041">
        <w:rPr>
          <w:rFonts w:ascii="Times New Roman" w:hAnsi="Times New Roman" w:cs="Times New Roman"/>
          <w:sz w:val="24"/>
          <w:szCs w:val="24"/>
        </w:rPr>
        <w:t xml:space="preserve"> </w:t>
      </w:r>
      <w:r w:rsidRPr="00B84041">
        <w:rPr>
          <w:rFonts w:ascii="Times New Roman" w:hAnsi="Times New Roman" w:cs="Times New Roman"/>
          <w:sz w:val="24"/>
          <w:szCs w:val="24"/>
        </w:rPr>
        <w:t>Guide to N</w:t>
      </w:r>
      <w:r w:rsidR="000954B4" w:rsidRPr="00B84041">
        <w:rPr>
          <w:rFonts w:ascii="Times New Roman" w:hAnsi="Times New Roman" w:cs="Times New Roman"/>
          <w:sz w:val="24"/>
          <w:szCs w:val="24"/>
        </w:rPr>
        <w:t xml:space="preserve">ew </w:t>
      </w:r>
      <w:r w:rsidRPr="00B84041">
        <w:rPr>
          <w:rFonts w:ascii="Times New Roman" w:hAnsi="Times New Roman" w:cs="Times New Roman"/>
          <w:sz w:val="24"/>
          <w:szCs w:val="24"/>
        </w:rPr>
        <w:t>Y</w:t>
      </w:r>
      <w:r w:rsidR="000954B4" w:rsidRPr="00B84041">
        <w:rPr>
          <w:rFonts w:ascii="Times New Roman" w:hAnsi="Times New Roman" w:cs="Times New Roman"/>
          <w:sz w:val="24"/>
          <w:szCs w:val="24"/>
        </w:rPr>
        <w:t>ork</w:t>
      </w:r>
      <w:r w:rsidRPr="00B84041">
        <w:rPr>
          <w:rFonts w:ascii="Times New Roman" w:hAnsi="Times New Roman" w:cs="Times New Roman"/>
          <w:sz w:val="24"/>
          <w:szCs w:val="24"/>
        </w:rPr>
        <w:t xml:space="preserve"> Evidence rule 8.</w:t>
      </w:r>
      <w:r w:rsidR="00D96BDE" w:rsidRPr="00B84041">
        <w:rPr>
          <w:rFonts w:ascii="Times New Roman" w:hAnsi="Times New Roman" w:cs="Times New Roman"/>
          <w:sz w:val="24"/>
          <w:szCs w:val="24"/>
        </w:rPr>
        <w:t>2</w:t>
      </w:r>
      <w:r w:rsidR="001F15CD" w:rsidRPr="00B84041">
        <w:rPr>
          <w:rFonts w:ascii="Times New Roman" w:hAnsi="Times New Roman" w:cs="Times New Roman"/>
          <w:sz w:val="24"/>
          <w:szCs w:val="24"/>
        </w:rPr>
        <w:t>3</w:t>
      </w:r>
      <w:r w:rsidRPr="00B84041">
        <w:rPr>
          <w:rFonts w:ascii="Times New Roman" w:hAnsi="Times New Roman" w:cs="Times New Roman"/>
          <w:sz w:val="24"/>
          <w:szCs w:val="24"/>
        </w:rPr>
        <w:t>.</w:t>
      </w:r>
      <w:bookmarkEnd w:id="4"/>
    </w:p>
    <w:p w14:paraId="04176B60" w14:textId="77777777" w:rsidR="00690D84" w:rsidRPr="00B84041" w:rsidRDefault="00690D84" w:rsidP="00404BFC">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sectPr w:rsidR="00690D84" w:rsidRPr="00B84041" w:rsidSect="00404BFC">
      <w:footerReference w:type="default" r:id="rId8"/>
      <w:endnotePr>
        <w:numFmt w:val="decimal"/>
      </w:endnotePr>
      <w:type w:val="continuous"/>
      <w:pgSz w:w="12240" w:h="15840" w:code="1"/>
      <w:pgMar w:top="1440" w:right="2160" w:bottom="144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6917" w14:textId="77777777" w:rsidR="002818F3" w:rsidRDefault="002818F3">
      <w:r>
        <w:separator/>
      </w:r>
    </w:p>
  </w:endnote>
  <w:endnote w:type="continuationSeparator" w:id="0">
    <w:p w14:paraId="099E834F" w14:textId="77777777" w:rsidR="002818F3" w:rsidRDefault="002818F3">
      <w:r>
        <w:continuationSeparator/>
      </w:r>
    </w:p>
  </w:endnote>
  <w:endnote w:type="continuationNotice" w:id="1">
    <w:p w14:paraId="6812F39D" w14:textId="77777777" w:rsidR="002818F3" w:rsidRDefault="002818F3"/>
  </w:endnote>
  <w:endnote w:id="2">
    <w:p w14:paraId="7876E220" w14:textId="05E3172A" w:rsidR="005060DB" w:rsidRPr="00E467D0" w:rsidRDefault="005060DB" w:rsidP="005060D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lang w:val="en-CA"/>
        </w:rPr>
      </w:pPr>
      <w:r w:rsidRPr="00E467D0">
        <w:rPr>
          <w:rStyle w:val="EndnoteReference"/>
        </w:rPr>
        <w:endnoteRef/>
      </w:r>
      <w:r w:rsidRPr="00E467D0">
        <w:t xml:space="preserve"> </w:t>
      </w:r>
      <w:r w:rsidRPr="00E467D0">
        <w:rPr>
          <w:rFonts w:ascii="Times New Roman" w:hAnsi="Times New Roman" w:cs="Times New Roman"/>
          <w:sz w:val="24"/>
          <w:szCs w:val="24"/>
          <w:lang w:val="en-CA"/>
        </w:rPr>
        <w:t xml:space="preserve">In June 2022, </w:t>
      </w:r>
      <w:r w:rsidR="00381100" w:rsidRPr="00E467D0">
        <w:rPr>
          <w:rFonts w:ascii="Times New Roman" w:hAnsi="Times New Roman" w:cs="Times New Roman"/>
          <w:sz w:val="24"/>
          <w:szCs w:val="24"/>
          <w:lang w:val="en-CA"/>
        </w:rPr>
        <w:t>this r</w:t>
      </w:r>
      <w:r w:rsidR="00DD7DA0" w:rsidRPr="00E467D0">
        <w:rPr>
          <w:rFonts w:ascii="Times New Roman" w:hAnsi="Times New Roman" w:cs="Times New Roman"/>
          <w:sz w:val="24"/>
          <w:szCs w:val="24"/>
          <w:lang w:val="en-CA"/>
        </w:rPr>
        <w:t xml:space="preserve">ule and </w:t>
      </w:r>
      <w:r w:rsidR="00C66970" w:rsidRPr="00E467D0">
        <w:rPr>
          <w:rFonts w:ascii="Times New Roman" w:hAnsi="Times New Roman" w:cs="Times New Roman"/>
          <w:sz w:val="24"/>
          <w:szCs w:val="24"/>
          <w:lang w:val="en-CA"/>
        </w:rPr>
        <w:t>N</w:t>
      </w:r>
      <w:r w:rsidR="00DD7DA0" w:rsidRPr="00E467D0">
        <w:rPr>
          <w:rFonts w:ascii="Times New Roman" w:hAnsi="Times New Roman" w:cs="Times New Roman"/>
          <w:sz w:val="24"/>
          <w:szCs w:val="24"/>
          <w:lang w:val="en-CA"/>
        </w:rPr>
        <w:t xml:space="preserve">ote were </w:t>
      </w:r>
      <w:r w:rsidR="00601FFF" w:rsidRPr="00E467D0">
        <w:rPr>
          <w:rFonts w:ascii="Times New Roman" w:hAnsi="Times New Roman" w:cs="Times New Roman"/>
          <w:sz w:val="24"/>
          <w:szCs w:val="24"/>
          <w:lang w:val="en-CA"/>
        </w:rPr>
        <w:t>amended</w:t>
      </w:r>
      <w:r w:rsidRPr="00E467D0">
        <w:rPr>
          <w:rFonts w:ascii="Times New Roman" w:hAnsi="Times New Roman" w:cs="Times New Roman"/>
          <w:sz w:val="24"/>
          <w:szCs w:val="24"/>
          <w:lang w:val="en-CA"/>
        </w:rPr>
        <w:t xml:space="preserve"> for the purpose of incorporating CPLR 4549, enacted in 2021. </w:t>
      </w:r>
      <w:r w:rsidR="00505281" w:rsidRPr="00E467D0">
        <w:rPr>
          <w:rFonts w:ascii="Times New Roman" w:hAnsi="Times New Roman" w:cs="Times New Roman"/>
          <w:sz w:val="24"/>
          <w:szCs w:val="24"/>
          <w:lang w:val="en-CA"/>
        </w:rPr>
        <w:t xml:space="preserve">Subdivision </w:t>
      </w:r>
      <w:r w:rsidRPr="00E467D0">
        <w:rPr>
          <w:rFonts w:ascii="Times New Roman" w:hAnsi="Times New Roman" w:cs="Times New Roman"/>
          <w:sz w:val="24"/>
          <w:szCs w:val="24"/>
          <w:lang w:val="en-CA"/>
        </w:rPr>
        <w:t xml:space="preserve">(1) (c) </w:t>
      </w:r>
      <w:r w:rsidR="005C54EF" w:rsidRPr="00E467D0">
        <w:rPr>
          <w:rFonts w:ascii="Times New Roman" w:hAnsi="Times New Roman" w:cs="Times New Roman"/>
          <w:sz w:val="24"/>
          <w:szCs w:val="24"/>
          <w:lang w:val="en-CA"/>
        </w:rPr>
        <w:t xml:space="preserve">was </w:t>
      </w:r>
      <w:r w:rsidR="00AC3808" w:rsidRPr="00E467D0">
        <w:rPr>
          <w:rFonts w:ascii="Times New Roman" w:hAnsi="Times New Roman" w:cs="Times New Roman"/>
          <w:sz w:val="24"/>
          <w:szCs w:val="24"/>
          <w:lang w:val="en-CA"/>
        </w:rPr>
        <w:t>deleted,</w:t>
      </w:r>
      <w:r w:rsidR="005C54EF" w:rsidRPr="00E467D0">
        <w:rPr>
          <w:rFonts w:ascii="Times New Roman" w:hAnsi="Times New Roman" w:cs="Times New Roman"/>
          <w:sz w:val="24"/>
          <w:szCs w:val="24"/>
          <w:lang w:val="en-CA"/>
        </w:rPr>
        <w:t xml:space="preserve"> </w:t>
      </w:r>
      <w:r w:rsidRPr="00E467D0">
        <w:rPr>
          <w:rFonts w:ascii="Times New Roman" w:hAnsi="Times New Roman" w:cs="Times New Roman"/>
          <w:sz w:val="24"/>
          <w:szCs w:val="24"/>
          <w:lang w:val="en-CA"/>
        </w:rPr>
        <w:t xml:space="preserve">and </w:t>
      </w:r>
      <w:r w:rsidR="007241D9" w:rsidRPr="00E467D0">
        <w:rPr>
          <w:rFonts w:ascii="Times New Roman" w:hAnsi="Times New Roman" w:cs="Times New Roman"/>
          <w:sz w:val="24"/>
          <w:szCs w:val="24"/>
          <w:lang w:val="en-CA"/>
        </w:rPr>
        <w:t xml:space="preserve">subdivision </w:t>
      </w:r>
      <w:r w:rsidRPr="00E467D0">
        <w:rPr>
          <w:rFonts w:ascii="Times New Roman" w:hAnsi="Times New Roman" w:cs="Times New Roman"/>
          <w:sz w:val="24"/>
          <w:szCs w:val="24"/>
          <w:lang w:val="en-CA"/>
        </w:rPr>
        <w:t>(2)</w:t>
      </w:r>
      <w:r w:rsidR="007241D9" w:rsidRPr="00E467D0">
        <w:rPr>
          <w:rFonts w:ascii="Times New Roman" w:hAnsi="Times New Roman" w:cs="Times New Roman"/>
          <w:sz w:val="24"/>
          <w:szCs w:val="24"/>
          <w:lang w:val="en-CA"/>
        </w:rPr>
        <w:t xml:space="preserve"> was added to incorporate portions of former subdivision (1)</w:t>
      </w:r>
      <w:r w:rsidR="00C66970" w:rsidRPr="00E467D0">
        <w:rPr>
          <w:rFonts w:ascii="Times New Roman" w:hAnsi="Times New Roman" w:cs="Times New Roman"/>
          <w:sz w:val="24"/>
          <w:szCs w:val="24"/>
          <w:lang w:val="en-CA"/>
        </w:rPr>
        <w:t xml:space="preserve"> </w:t>
      </w:r>
      <w:r w:rsidR="007241D9" w:rsidRPr="00E467D0">
        <w:rPr>
          <w:rFonts w:ascii="Times New Roman" w:hAnsi="Times New Roman" w:cs="Times New Roman"/>
          <w:sz w:val="24"/>
          <w:szCs w:val="24"/>
          <w:lang w:val="en-CA"/>
        </w:rPr>
        <w:t>(c) and</w:t>
      </w:r>
      <w:r w:rsidR="00201BE8" w:rsidRPr="00E467D0">
        <w:rPr>
          <w:rFonts w:ascii="Times New Roman" w:hAnsi="Times New Roman" w:cs="Times New Roman"/>
          <w:sz w:val="24"/>
          <w:szCs w:val="24"/>
          <w:lang w:val="en-CA"/>
        </w:rPr>
        <w:t xml:space="preserve"> CPLR</w:t>
      </w:r>
      <w:r w:rsidR="003F40CB" w:rsidRPr="00E467D0">
        <w:rPr>
          <w:rFonts w:ascii="Times New Roman" w:hAnsi="Times New Roman" w:cs="Times New Roman"/>
          <w:sz w:val="24"/>
          <w:szCs w:val="24"/>
          <w:lang w:val="en-CA"/>
        </w:rPr>
        <w:t xml:space="preserve"> </w:t>
      </w:r>
      <w:r w:rsidRPr="00E467D0">
        <w:rPr>
          <w:rFonts w:ascii="Times New Roman" w:hAnsi="Times New Roman" w:cs="Times New Roman"/>
          <w:sz w:val="24"/>
          <w:szCs w:val="24"/>
          <w:lang w:val="en-CA"/>
        </w:rPr>
        <w:t xml:space="preserve">4549. </w:t>
      </w:r>
    </w:p>
    <w:p w14:paraId="2C6ABF2D" w14:textId="03CDD8CB" w:rsidR="005060DB" w:rsidRDefault="005060D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E676" w14:textId="77777777" w:rsidR="00086493" w:rsidRPr="00086493" w:rsidRDefault="00086493">
    <w:pPr>
      <w:pStyle w:val="Footer"/>
      <w:jc w:val="center"/>
      <w:rPr>
        <w:rFonts w:ascii="Times New Roman" w:hAnsi="Times New Roman" w:cs="Times New Roman"/>
        <w:i w:val="0"/>
        <w:sz w:val="24"/>
        <w:szCs w:val="24"/>
      </w:rPr>
    </w:pPr>
    <w:r w:rsidRPr="00086493">
      <w:rPr>
        <w:rFonts w:ascii="Times New Roman" w:hAnsi="Times New Roman" w:cs="Times New Roman"/>
        <w:i w:val="0"/>
        <w:sz w:val="24"/>
        <w:szCs w:val="24"/>
      </w:rPr>
      <w:fldChar w:fldCharType="begin"/>
    </w:r>
    <w:r w:rsidRPr="00086493">
      <w:rPr>
        <w:rFonts w:ascii="Times New Roman" w:hAnsi="Times New Roman" w:cs="Times New Roman"/>
        <w:i w:val="0"/>
        <w:sz w:val="24"/>
        <w:szCs w:val="24"/>
      </w:rPr>
      <w:instrText xml:space="preserve"> PAGE   \* MERGEFORMAT </w:instrText>
    </w:r>
    <w:r w:rsidRPr="00086493">
      <w:rPr>
        <w:rFonts w:ascii="Times New Roman" w:hAnsi="Times New Roman" w:cs="Times New Roman"/>
        <w:i w:val="0"/>
        <w:sz w:val="24"/>
        <w:szCs w:val="24"/>
      </w:rPr>
      <w:fldChar w:fldCharType="separate"/>
    </w:r>
    <w:r w:rsidR="006F553D">
      <w:rPr>
        <w:rFonts w:ascii="Times New Roman" w:hAnsi="Times New Roman" w:cs="Times New Roman"/>
        <w:i w:val="0"/>
        <w:noProof/>
        <w:sz w:val="24"/>
        <w:szCs w:val="24"/>
      </w:rPr>
      <w:t>1</w:t>
    </w:r>
    <w:r w:rsidRPr="00086493">
      <w:rPr>
        <w:rFonts w:ascii="Times New Roman" w:hAnsi="Times New Roman" w:cs="Times New Roman"/>
        <w:i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43F5" w14:textId="77777777" w:rsidR="002818F3" w:rsidRDefault="002818F3">
      <w:r>
        <w:separator/>
      </w:r>
    </w:p>
  </w:footnote>
  <w:footnote w:type="continuationSeparator" w:id="0">
    <w:p w14:paraId="516E2AB7" w14:textId="77777777" w:rsidR="002818F3" w:rsidRDefault="002818F3">
      <w:r>
        <w:continuationSeparator/>
      </w:r>
    </w:p>
  </w:footnote>
  <w:footnote w:type="continuationNotice" w:id="1">
    <w:p w14:paraId="0F9C4C93" w14:textId="77777777" w:rsidR="002818F3" w:rsidRDefault="002818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2067"/>
    <w:multiLevelType w:val="multilevel"/>
    <w:tmpl w:val="9D0EA92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2DBA7283"/>
    <w:multiLevelType w:val="multilevel"/>
    <w:tmpl w:val="4748FB4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36743BD2"/>
    <w:multiLevelType w:val="multilevel"/>
    <w:tmpl w:val="4748FB4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43252C50"/>
    <w:multiLevelType w:val="multilevel"/>
    <w:tmpl w:val="4748FB4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4C452551"/>
    <w:multiLevelType w:val="hybridMultilevel"/>
    <w:tmpl w:val="6A3627BE"/>
    <w:lvl w:ilvl="0" w:tplc="FD543BB8">
      <w:start w:val="2"/>
      <w:numFmt w:val="decimal"/>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C76EED"/>
    <w:multiLevelType w:val="multilevel"/>
    <w:tmpl w:val="4748FB4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02"/>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EE"/>
    <w:rsid w:val="00004C9A"/>
    <w:rsid w:val="00026D6B"/>
    <w:rsid w:val="000345A9"/>
    <w:rsid w:val="0005366D"/>
    <w:rsid w:val="00060FC3"/>
    <w:rsid w:val="0007122C"/>
    <w:rsid w:val="00072542"/>
    <w:rsid w:val="00072D51"/>
    <w:rsid w:val="00086493"/>
    <w:rsid w:val="000954B4"/>
    <w:rsid w:val="000B717B"/>
    <w:rsid w:val="000C3520"/>
    <w:rsid w:val="000E7436"/>
    <w:rsid w:val="001251D0"/>
    <w:rsid w:val="001730FB"/>
    <w:rsid w:val="001734BE"/>
    <w:rsid w:val="001768EB"/>
    <w:rsid w:val="00181D7B"/>
    <w:rsid w:val="001951AD"/>
    <w:rsid w:val="001A1B76"/>
    <w:rsid w:val="001A3054"/>
    <w:rsid w:val="001B2B99"/>
    <w:rsid w:val="001D1965"/>
    <w:rsid w:val="001F15CD"/>
    <w:rsid w:val="001F1A52"/>
    <w:rsid w:val="00201BE8"/>
    <w:rsid w:val="0022291E"/>
    <w:rsid w:val="002307B2"/>
    <w:rsid w:val="00236EDD"/>
    <w:rsid w:val="00276D5A"/>
    <w:rsid w:val="00276E44"/>
    <w:rsid w:val="002818F3"/>
    <w:rsid w:val="002900DD"/>
    <w:rsid w:val="002922A9"/>
    <w:rsid w:val="002C52AA"/>
    <w:rsid w:val="002D7F24"/>
    <w:rsid w:val="002E5F76"/>
    <w:rsid w:val="002F7D3F"/>
    <w:rsid w:val="00300738"/>
    <w:rsid w:val="00306DE4"/>
    <w:rsid w:val="00320E88"/>
    <w:rsid w:val="0032684F"/>
    <w:rsid w:val="003338E5"/>
    <w:rsid w:val="003362F9"/>
    <w:rsid w:val="00381100"/>
    <w:rsid w:val="00391E08"/>
    <w:rsid w:val="003A5B67"/>
    <w:rsid w:val="003A7BD0"/>
    <w:rsid w:val="003B120A"/>
    <w:rsid w:val="003C4D5E"/>
    <w:rsid w:val="003D48F7"/>
    <w:rsid w:val="003E1A12"/>
    <w:rsid w:val="003F40CB"/>
    <w:rsid w:val="00404BFC"/>
    <w:rsid w:val="00442568"/>
    <w:rsid w:val="004902C1"/>
    <w:rsid w:val="0049437B"/>
    <w:rsid w:val="004B0E50"/>
    <w:rsid w:val="004E23F5"/>
    <w:rsid w:val="004E3B46"/>
    <w:rsid w:val="00505281"/>
    <w:rsid w:val="005060DB"/>
    <w:rsid w:val="0052362B"/>
    <w:rsid w:val="005335D3"/>
    <w:rsid w:val="00562C7A"/>
    <w:rsid w:val="005706E9"/>
    <w:rsid w:val="00581049"/>
    <w:rsid w:val="00581E9B"/>
    <w:rsid w:val="005A211B"/>
    <w:rsid w:val="005C54EF"/>
    <w:rsid w:val="005D1CDD"/>
    <w:rsid w:val="005F24EB"/>
    <w:rsid w:val="00600961"/>
    <w:rsid w:val="00601FFF"/>
    <w:rsid w:val="00627620"/>
    <w:rsid w:val="00647D6A"/>
    <w:rsid w:val="006539F5"/>
    <w:rsid w:val="0066193E"/>
    <w:rsid w:val="00661B7D"/>
    <w:rsid w:val="00674299"/>
    <w:rsid w:val="00675234"/>
    <w:rsid w:val="00677ED9"/>
    <w:rsid w:val="00690D84"/>
    <w:rsid w:val="006B046C"/>
    <w:rsid w:val="006B7E1D"/>
    <w:rsid w:val="006D3959"/>
    <w:rsid w:val="006F553D"/>
    <w:rsid w:val="00704414"/>
    <w:rsid w:val="00721D4E"/>
    <w:rsid w:val="007241D9"/>
    <w:rsid w:val="007446D2"/>
    <w:rsid w:val="00747EB4"/>
    <w:rsid w:val="00753320"/>
    <w:rsid w:val="007665F3"/>
    <w:rsid w:val="00773BD3"/>
    <w:rsid w:val="00774823"/>
    <w:rsid w:val="007826D5"/>
    <w:rsid w:val="00785C3C"/>
    <w:rsid w:val="007938F5"/>
    <w:rsid w:val="0079689E"/>
    <w:rsid w:val="00797E00"/>
    <w:rsid w:val="007A11CE"/>
    <w:rsid w:val="007B01E0"/>
    <w:rsid w:val="007B1658"/>
    <w:rsid w:val="007B18AD"/>
    <w:rsid w:val="007C64F9"/>
    <w:rsid w:val="00804C1E"/>
    <w:rsid w:val="008079E6"/>
    <w:rsid w:val="00813C6E"/>
    <w:rsid w:val="00814201"/>
    <w:rsid w:val="00824F79"/>
    <w:rsid w:val="00857C69"/>
    <w:rsid w:val="00870E6C"/>
    <w:rsid w:val="00877AA3"/>
    <w:rsid w:val="0088203A"/>
    <w:rsid w:val="00885737"/>
    <w:rsid w:val="008B1A42"/>
    <w:rsid w:val="008E72C4"/>
    <w:rsid w:val="008F68EA"/>
    <w:rsid w:val="00931F11"/>
    <w:rsid w:val="00950979"/>
    <w:rsid w:val="009644CD"/>
    <w:rsid w:val="009665FC"/>
    <w:rsid w:val="00967BEE"/>
    <w:rsid w:val="009904DB"/>
    <w:rsid w:val="009C2001"/>
    <w:rsid w:val="009E27CB"/>
    <w:rsid w:val="009E3DC1"/>
    <w:rsid w:val="00A34D7F"/>
    <w:rsid w:val="00A46DE1"/>
    <w:rsid w:val="00A6359E"/>
    <w:rsid w:val="00A7012F"/>
    <w:rsid w:val="00A835D7"/>
    <w:rsid w:val="00AA4B40"/>
    <w:rsid w:val="00AB34D6"/>
    <w:rsid w:val="00AB40E3"/>
    <w:rsid w:val="00AC0FC3"/>
    <w:rsid w:val="00AC3808"/>
    <w:rsid w:val="00AC7C75"/>
    <w:rsid w:val="00AE132B"/>
    <w:rsid w:val="00AF4872"/>
    <w:rsid w:val="00B03AF2"/>
    <w:rsid w:val="00B45B62"/>
    <w:rsid w:val="00B515F2"/>
    <w:rsid w:val="00B762CC"/>
    <w:rsid w:val="00B84041"/>
    <w:rsid w:val="00B87A4E"/>
    <w:rsid w:val="00B90098"/>
    <w:rsid w:val="00B93188"/>
    <w:rsid w:val="00B938DA"/>
    <w:rsid w:val="00BA5AB2"/>
    <w:rsid w:val="00BC2D95"/>
    <w:rsid w:val="00BD0FA7"/>
    <w:rsid w:val="00BE1F83"/>
    <w:rsid w:val="00BF72C0"/>
    <w:rsid w:val="00C03DA0"/>
    <w:rsid w:val="00C07A85"/>
    <w:rsid w:val="00C24865"/>
    <w:rsid w:val="00C35341"/>
    <w:rsid w:val="00C42534"/>
    <w:rsid w:val="00C66970"/>
    <w:rsid w:val="00C7100C"/>
    <w:rsid w:val="00C8604E"/>
    <w:rsid w:val="00CB0F99"/>
    <w:rsid w:val="00CB3695"/>
    <w:rsid w:val="00CF0BD4"/>
    <w:rsid w:val="00D038A8"/>
    <w:rsid w:val="00D05E4D"/>
    <w:rsid w:val="00D062B3"/>
    <w:rsid w:val="00D06423"/>
    <w:rsid w:val="00D10B03"/>
    <w:rsid w:val="00D23E3E"/>
    <w:rsid w:val="00D45884"/>
    <w:rsid w:val="00D629DB"/>
    <w:rsid w:val="00D763CA"/>
    <w:rsid w:val="00D96BDE"/>
    <w:rsid w:val="00DB3FB7"/>
    <w:rsid w:val="00DD71B3"/>
    <w:rsid w:val="00DD7DA0"/>
    <w:rsid w:val="00DF3A3C"/>
    <w:rsid w:val="00E13B3E"/>
    <w:rsid w:val="00E15CB1"/>
    <w:rsid w:val="00E20309"/>
    <w:rsid w:val="00E420CB"/>
    <w:rsid w:val="00E457AE"/>
    <w:rsid w:val="00E467D0"/>
    <w:rsid w:val="00E666D5"/>
    <w:rsid w:val="00E7094B"/>
    <w:rsid w:val="00E71DAB"/>
    <w:rsid w:val="00E75257"/>
    <w:rsid w:val="00E916BB"/>
    <w:rsid w:val="00EB34F8"/>
    <w:rsid w:val="00ED6F66"/>
    <w:rsid w:val="00F02C21"/>
    <w:rsid w:val="00F12225"/>
    <w:rsid w:val="00F14437"/>
    <w:rsid w:val="00F25CF6"/>
    <w:rsid w:val="00F46F34"/>
    <w:rsid w:val="00F50B14"/>
    <w:rsid w:val="00F65773"/>
    <w:rsid w:val="00F81CA2"/>
    <w:rsid w:val="00F956D4"/>
    <w:rsid w:val="00FA613F"/>
    <w:rsid w:val="00FB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2110F"/>
  <w15:docId w15:val="{3370FBFA-DBFD-415D-8678-EF723335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5-1">
    <w:name w:val="L5-1"/>
    <w:uiPriority w:val="99"/>
    <w:pPr>
      <w:widowControl w:val="0"/>
      <w:autoSpaceDE w:val="0"/>
      <w:autoSpaceDN w:val="0"/>
      <w:adjustRightInd w:val="0"/>
      <w:ind w:left="1680" w:hanging="420"/>
      <w:jc w:val="both"/>
    </w:pPr>
    <w:rPr>
      <w:rFonts w:ascii="Times New Roman" w:hAnsi="Times New Roman" w:cs="Times New Roman"/>
      <w:sz w:val="24"/>
      <w:szCs w:val="24"/>
    </w:rPr>
  </w:style>
  <w:style w:type="paragraph" w:customStyle="1" w:styleId="L5-2">
    <w:name w:val="L5-2"/>
    <w:uiPriority w:val="99"/>
    <w:pPr>
      <w:widowControl w:val="0"/>
      <w:autoSpaceDE w:val="0"/>
      <w:autoSpaceDN w:val="0"/>
      <w:adjustRightInd w:val="0"/>
      <w:ind w:left="2340" w:hanging="360"/>
      <w:jc w:val="both"/>
    </w:pPr>
    <w:rPr>
      <w:rFonts w:ascii="Times New Roman" w:hAnsi="Times New Roman" w:cs="Times New Roman"/>
      <w:sz w:val="24"/>
      <w:szCs w:val="24"/>
    </w:rPr>
  </w:style>
  <w:style w:type="paragraph" w:customStyle="1" w:styleId="L5-3">
    <w:name w:val="L5-3"/>
    <w:uiPriority w:val="99"/>
    <w:pPr>
      <w:widowControl w:val="0"/>
      <w:autoSpaceDE w:val="0"/>
      <w:autoSpaceDN w:val="0"/>
      <w:adjustRightInd w:val="0"/>
      <w:ind w:left="3060" w:hanging="180"/>
      <w:jc w:val="both"/>
    </w:pPr>
    <w:rPr>
      <w:rFonts w:ascii="Times New Roman" w:hAnsi="Times New Roman" w:cs="Times New Roman"/>
      <w:sz w:val="24"/>
      <w:szCs w:val="24"/>
    </w:rPr>
  </w:style>
  <w:style w:type="paragraph" w:customStyle="1" w:styleId="L5-4">
    <w:name w:val="L5-4"/>
    <w:uiPriority w:val="99"/>
    <w:pPr>
      <w:widowControl w:val="0"/>
      <w:autoSpaceDE w:val="0"/>
      <w:autoSpaceDN w:val="0"/>
      <w:adjustRightInd w:val="0"/>
      <w:ind w:left="3780" w:hanging="360"/>
      <w:jc w:val="both"/>
    </w:pPr>
    <w:rPr>
      <w:rFonts w:ascii="Times New Roman" w:hAnsi="Times New Roman" w:cs="Times New Roman"/>
      <w:sz w:val="24"/>
      <w:szCs w:val="24"/>
    </w:rPr>
  </w:style>
  <w:style w:type="paragraph" w:customStyle="1" w:styleId="L5-5">
    <w:name w:val="L5-5"/>
    <w:uiPriority w:val="99"/>
    <w:pPr>
      <w:widowControl w:val="0"/>
      <w:autoSpaceDE w:val="0"/>
      <w:autoSpaceDN w:val="0"/>
      <w:adjustRightInd w:val="0"/>
      <w:ind w:left="4500" w:hanging="360"/>
      <w:jc w:val="both"/>
    </w:pPr>
    <w:rPr>
      <w:rFonts w:ascii="Times New Roman" w:hAnsi="Times New Roman" w:cs="Times New Roman"/>
      <w:sz w:val="24"/>
      <w:szCs w:val="24"/>
    </w:rPr>
  </w:style>
  <w:style w:type="paragraph" w:customStyle="1" w:styleId="L5-6">
    <w:name w:val="L5-6"/>
    <w:uiPriority w:val="99"/>
    <w:pPr>
      <w:widowControl w:val="0"/>
      <w:autoSpaceDE w:val="0"/>
      <w:autoSpaceDN w:val="0"/>
      <w:adjustRightInd w:val="0"/>
      <w:ind w:left="5220" w:hanging="180"/>
      <w:jc w:val="both"/>
    </w:pPr>
    <w:rPr>
      <w:rFonts w:ascii="Times New Roman" w:hAnsi="Times New Roman" w:cs="Times New Roman"/>
      <w:sz w:val="24"/>
      <w:szCs w:val="24"/>
    </w:rPr>
  </w:style>
  <w:style w:type="paragraph" w:customStyle="1" w:styleId="L5-7">
    <w:name w:val="L5-7"/>
    <w:uiPriority w:val="99"/>
    <w:pPr>
      <w:widowControl w:val="0"/>
      <w:autoSpaceDE w:val="0"/>
      <w:autoSpaceDN w:val="0"/>
      <w:adjustRightInd w:val="0"/>
      <w:ind w:left="5940" w:hanging="360"/>
      <w:jc w:val="both"/>
    </w:pPr>
    <w:rPr>
      <w:rFonts w:ascii="Times New Roman" w:hAnsi="Times New Roman" w:cs="Times New Roman"/>
      <w:sz w:val="24"/>
      <w:szCs w:val="24"/>
    </w:rPr>
  </w:style>
  <w:style w:type="paragraph" w:customStyle="1" w:styleId="L5-8">
    <w:name w:val="L5-8"/>
    <w:uiPriority w:val="99"/>
    <w:pPr>
      <w:widowControl w:val="0"/>
      <w:autoSpaceDE w:val="0"/>
      <w:autoSpaceDN w:val="0"/>
      <w:adjustRightInd w:val="0"/>
      <w:ind w:left="666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3-1">
    <w:name w:val="L3-1"/>
    <w:uiPriority w:val="99"/>
    <w:pPr>
      <w:widowControl w:val="0"/>
      <w:autoSpaceDE w:val="0"/>
      <w:autoSpaceDN w:val="0"/>
      <w:adjustRightInd w:val="0"/>
      <w:ind w:left="2040" w:hanging="420"/>
      <w:jc w:val="both"/>
    </w:pPr>
    <w:rPr>
      <w:rFonts w:ascii="Times New Roman" w:hAnsi="Times New Roman" w:cs="Times New Roman"/>
      <w:sz w:val="24"/>
      <w:szCs w:val="24"/>
    </w:rPr>
  </w:style>
  <w:style w:type="paragraph" w:customStyle="1" w:styleId="L3-2">
    <w:name w:val="L3-2"/>
    <w:uiPriority w:val="99"/>
    <w:pPr>
      <w:widowControl w:val="0"/>
      <w:autoSpaceDE w:val="0"/>
      <w:autoSpaceDN w:val="0"/>
      <w:adjustRightInd w:val="0"/>
      <w:ind w:left="2670" w:hanging="360"/>
      <w:jc w:val="both"/>
    </w:pPr>
    <w:rPr>
      <w:rFonts w:ascii="Times New Roman" w:hAnsi="Times New Roman" w:cs="Times New Roman"/>
      <w:sz w:val="24"/>
      <w:szCs w:val="24"/>
    </w:rPr>
  </w:style>
  <w:style w:type="paragraph" w:customStyle="1" w:styleId="L3-3">
    <w:name w:val="L3-3"/>
    <w:uiPriority w:val="99"/>
    <w:pPr>
      <w:widowControl w:val="0"/>
      <w:autoSpaceDE w:val="0"/>
      <w:autoSpaceDN w:val="0"/>
      <w:adjustRightInd w:val="0"/>
      <w:ind w:left="3390" w:hanging="180"/>
      <w:jc w:val="both"/>
    </w:pPr>
    <w:rPr>
      <w:rFonts w:ascii="Times New Roman" w:hAnsi="Times New Roman" w:cs="Times New Roman"/>
      <w:sz w:val="24"/>
      <w:szCs w:val="24"/>
    </w:rPr>
  </w:style>
  <w:style w:type="paragraph" w:customStyle="1" w:styleId="L3-4">
    <w:name w:val="L3-4"/>
    <w:uiPriority w:val="99"/>
    <w:pPr>
      <w:widowControl w:val="0"/>
      <w:autoSpaceDE w:val="0"/>
      <w:autoSpaceDN w:val="0"/>
      <w:adjustRightInd w:val="0"/>
      <w:ind w:left="4110" w:hanging="360"/>
      <w:jc w:val="both"/>
    </w:pPr>
    <w:rPr>
      <w:rFonts w:ascii="Times New Roman" w:hAnsi="Times New Roman" w:cs="Times New Roman"/>
      <w:sz w:val="24"/>
      <w:szCs w:val="24"/>
    </w:rPr>
  </w:style>
  <w:style w:type="paragraph" w:customStyle="1" w:styleId="L3-5">
    <w:name w:val="L3-5"/>
    <w:uiPriority w:val="99"/>
    <w:pPr>
      <w:widowControl w:val="0"/>
      <w:autoSpaceDE w:val="0"/>
      <w:autoSpaceDN w:val="0"/>
      <w:adjustRightInd w:val="0"/>
      <w:ind w:left="4830" w:hanging="360"/>
      <w:jc w:val="both"/>
    </w:pPr>
    <w:rPr>
      <w:rFonts w:ascii="Times New Roman" w:hAnsi="Times New Roman" w:cs="Times New Roman"/>
      <w:sz w:val="24"/>
      <w:szCs w:val="24"/>
    </w:rPr>
  </w:style>
  <w:style w:type="paragraph" w:customStyle="1" w:styleId="L3-6">
    <w:name w:val="L3-6"/>
    <w:uiPriority w:val="99"/>
    <w:pPr>
      <w:widowControl w:val="0"/>
      <w:autoSpaceDE w:val="0"/>
      <w:autoSpaceDN w:val="0"/>
      <w:adjustRightInd w:val="0"/>
      <w:ind w:left="5550" w:hanging="180"/>
      <w:jc w:val="both"/>
    </w:pPr>
    <w:rPr>
      <w:rFonts w:ascii="Times New Roman" w:hAnsi="Times New Roman" w:cs="Times New Roman"/>
      <w:sz w:val="24"/>
      <w:szCs w:val="24"/>
    </w:rPr>
  </w:style>
  <w:style w:type="paragraph" w:customStyle="1" w:styleId="L3-7">
    <w:name w:val="L3-7"/>
    <w:uiPriority w:val="99"/>
    <w:pPr>
      <w:widowControl w:val="0"/>
      <w:autoSpaceDE w:val="0"/>
      <w:autoSpaceDN w:val="0"/>
      <w:adjustRightInd w:val="0"/>
      <w:ind w:left="6270" w:hanging="360"/>
      <w:jc w:val="both"/>
    </w:pPr>
    <w:rPr>
      <w:rFonts w:ascii="Times New Roman" w:hAnsi="Times New Roman" w:cs="Times New Roman"/>
      <w:sz w:val="24"/>
      <w:szCs w:val="24"/>
    </w:rPr>
  </w:style>
  <w:style w:type="paragraph" w:customStyle="1" w:styleId="L3-8">
    <w:name w:val="L3-8"/>
    <w:uiPriority w:val="99"/>
    <w:pPr>
      <w:widowControl w:val="0"/>
      <w:autoSpaceDE w:val="0"/>
      <w:autoSpaceDN w:val="0"/>
      <w:adjustRightInd w:val="0"/>
      <w:ind w:left="6990" w:hanging="360"/>
      <w:jc w:val="both"/>
    </w:pPr>
    <w:rPr>
      <w:rFonts w:ascii="Times New Roman" w:hAnsi="Times New Roman" w:cs="Times New Roman"/>
      <w:sz w:val="24"/>
      <w:szCs w:val="24"/>
    </w:rPr>
  </w:style>
  <w:style w:type="paragraph" w:customStyle="1" w:styleId="L1-1">
    <w:name w:val="L1-1"/>
    <w:uiPriority w:val="99"/>
    <w:pPr>
      <w:widowControl w:val="0"/>
      <w:autoSpaceDE w:val="0"/>
      <w:autoSpaceDN w:val="0"/>
      <w:adjustRightInd w:val="0"/>
      <w:ind w:left="1932" w:hanging="360"/>
      <w:jc w:val="both"/>
    </w:pPr>
    <w:rPr>
      <w:rFonts w:ascii="Times New Roman" w:hAnsi="Times New Roman" w:cs="Times New Roman"/>
      <w:sz w:val="24"/>
      <w:szCs w:val="24"/>
    </w:rPr>
  </w:style>
  <w:style w:type="paragraph" w:customStyle="1" w:styleId="L1-2">
    <w:name w:val="L1-2"/>
    <w:uiPriority w:val="99"/>
    <w:pPr>
      <w:widowControl w:val="0"/>
      <w:autoSpaceDE w:val="0"/>
      <w:autoSpaceDN w:val="0"/>
      <w:adjustRightInd w:val="0"/>
      <w:ind w:left="2652" w:hanging="360"/>
      <w:jc w:val="both"/>
    </w:pPr>
    <w:rPr>
      <w:rFonts w:ascii="Times New Roman" w:hAnsi="Times New Roman" w:cs="Times New Roman"/>
      <w:sz w:val="24"/>
      <w:szCs w:val="24"/>
    </w:rPr>
  </w:style>
  <w:style w:type="paragraph" w:customStyle="1" w:styleId="L1-3">
    <w:name w:val="L1-3"/>
    <w:uiPriority w:val="99"/>
    <w:pPr>
      <w:widowControl w:val="0"/>
      <w:autoSpaceDE w:val="0"/>
      <w:autoSpaceDN w:val="0"/>
      <w:adjustRightInd w:val="0"/>
      <w:ind w:left="3372" w:hanging="180"/>
      <w:jc w:val="both"/>
    </w:pPr>
    <w:rPr>
      <w:rFonts w:ascii="Times New Roman" w:hAnsi="Times New Roman" w:cs="Times New Roman"/>
      <w:sz w:val="24"/>
      <w:szCs w:val="24"/>
    </w:rPr>
  </w:style>
  <w:style w:type="paragraph" w:customStyle="1" w:styleId="L1-4">
    <w:name w:val="L1-4"/>
    <w:uiPriority w:val="99"/>
    <w:pPr>
      <w:widowControl w:val="0"/>
      <w:autoSpaceDE w:val="0"/>
      <w:autoSpaceDN w:val="0"/>
      <w:adjustRightInd w:val="0"/>
      <w:ind w:left="4092" w:hanging="360"/>
      <w:jc w:val="both"/>
    </w:pPr>
    <w:rPr>
      <w:rFonts w:ascii="Times New Roman" w:hAnsi="Times New Roman" w:cs="Times New Roman"/>
      <w:sz w:val="24"/>
      <w:szCs w:val="24"/>
    </w:rPr>
  </w:style>
  <w:style w:type="paragraph" w:customStyle="1" w:styleId="L1-5">
    <w:name w:val="L1-5"/>
    <w:uiPriority w:val="99"/>
    <w:pPr>
      <w:widowControl w:val="0"/>
      <w:autoSpaceDE w:val="0"/>
      <w:autoSpaceDN w:val="0"/>
      <w:adjustRightInd w:val="0"/>
      <w:ind w:left="4812" w:hanging="360"/>
      <w:jc w:val="both"/>
    </w:pPr>
    <w:rPr>
      <w:rFonts w:ascii="Times New Roman" w:hAnsi="Times New Roman" w:cs="Times New Roman"/>
      <w:sz w:val="24"/>
      <w:szCs w:val="24"/>
    </w:rPr>
  </w:style>
  <w:style w:type="paragraph" w:customStyle="1" w:styleId="L1-6">
    <w:name w:val="L1-6"/>
    <w:uiPriority w:val="99"/>
    <w:pPr>
      <w:widowControl w:val="0"/>
      <w:autoSpaceDE w:val="0"/>
      <w:autoSpaceDN w:val="0"/>
      <w:adjustRightInd w:val="0"/>
      <w:ind w:left="5532" w:hanging="180"/>
      <w:jc w:val="both"/>
    </w:pPr>
    <w:rPr>
      <w:rFonts w:ascii="Times New Roman" w:hAnsi="Times New Roman" w:cs="Times New Roman"/>
      <w:sz w:val="24"/>
      <w:szCs w:val="24"/>
    </w:rPr>
  </w:style>
  <w:style w:type="paragraph" w:customStyle="1" w:styleId="L1-7">
    <w:name w:val="L1-7"/>
    <w:uiPriority w:val="99"/>
    <w:pPr>
      <w:widowControl w:val="0"/>
      <w:autoSpaceDE w:val="0"/>
      <w:autoSpaceDN w:val="0"/>
      <w:adjustRightInd w:val="0"/>
      <w:ind w:left="6252" w:hanging="360"/>
      <w:jc w:val="both"/>
    </w:pPr>
    <w:rPr>
      <w:rFonts w:ascii="Times New Roman" w:hAnsi="Times New Roman" w:cs="Times New Roman"/>
      <w:sz w:val="24"/>
      <w:szCs w:val="24"/>
    </w:rPr>
  </w:style>
  <w:style w:type="paragraph" w:customStyle="1" w:styleId="L1-8">
    <w:name w:val="L1-8"/>
    <w:uiPriority w:val="99"/>
    <w:pPr>
      <w:widowControl w:val="0"/>
      <w:autoSpaceDE w:val="0"/>
      <w:autoSpaceDN w:val="0"/>
      <w:adjustRightInd w:val="0"/>
      <w:ind w:left="6972" w:hanging="360"/>
      <w:jc w:val="both"/>
    </w:pPr>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7920"/>
      </w:tabs>
      <w:jc w:val="both"/>
    </w:pPr>
    <w:rPr>
      <w:rFonts w:ascii="Arial" w:hAnsi="Arial" w:cs="Arial"/>
      <w:i/>
      <w:iCs/>
      <w:sz w:val="28"/>
      <w:szCs w:val="28"/>
    </w:rPr>
  </w:style>
  <w:style w:type="character" w:customStyle="1" w:styleId="FooterChar">
    <w:name w:val="Footer Char"/>
    <w:link w:val="Footer"/>
    <w:uiPriority w:val="99"/>
    <w:locked/>
    <w:rPr>
      <w:rFonts w:ascii="Times New Roman" w:hAnsi="Times New Roman" w:cs="Times New Roman"/>
      <w:sz w:val="20"/>
    </w:rPr>
  </w:style>
  <w:style w:type="paragraph" w:styleId="NoSpacing">
    <w:name w:val="No Spacing"/>
    <w:uiPriority w:val="1"/>
    <w:qFormat/>
    <w:pPr>
      <w:widowControl w:val="0"/>
      <w:autoSpaceDE w:val="0"/>
      <w:autoSpaceDN w:val="0"/>
      <w:adjustRightInd w:val="0"/>
      <w:jc w:val="both"/>
    </w:pPr>
    <w:rPr>
      <w:sz w:val="22"/>
      <w:szCs w:val="22"/>
    </w:rPr>
  </w:style>
  <w:style w:type="paragraph" w:customStyle="1" w:styleId="L5-9">
    <w:name w:val="L5-9"/>
    <w:uiPriority w:val="99"/>
    <w:pPr>
      <w:widowControl w:val="0"/>
      <w:autoSpaceDE w:val="0"/>
      <w:autoSpaceDN w:val="0"/>
      <w:adjustRightInd w:val="0"/>
      <w:ind w:left="7380" w:hanging="180"/>
      <w:jc w:val="both"/>
    </w:pPr>
    <w:rPr>
      <w:rFonts w:ascii="Times New Roman" w:hAnsi="Times New Roman" w:cs="Times New Roman"/>
      <w:sz w:val="24"/>
      <w:szCs w:val="24"/>
    </w:rPr>
  </w:style>
  <w:style w:type="paragraph" w:customStyle="1" w:styleId="L3-9">
    <w:name w:val="L3-9"/>
    <w:uiPriority w:val="99"/>
    <w:pPr>
      <w:widowControl w:val="0"/>
      <w:autoSpaceDE w:val="0"/>
      <w:autoSpaceDN w:val="0"/>
      <w:adjustRightInd w:val="0"/>
      <w:ind w:left="7710" w:hanging="180"/>
      <w:jc w:val="both"/>
    </w:pPr>
    <w:rPr>
      <w:rFonts w:ascii="Times New Roman" w:hAnsi="Times New Roman" w:cs="Times New Roman"/>
      <w:sz w:val="24"/>
      <w:szCs w:val="24"/>
    </w:rPr>
  </w:style>
  <w:style w:type="paragraph" w:customStyle="1" w:styleId="L1-9">
    <w:name w:val="L1-9"/>
    <w:uiPriority w:val="99"/>
    <w:pPr>
      <w:widowControl w:val="0"/>
      <w:autoSpaceDE w:val="0"/>
      <w:autoSpaceDN w:val="0"/>
      <w:adjustRightInd w:val="0"/>
      <w:ind w:left="7692" w:hanging="180"/>
      <w:jc w:val="both"/>
    </w:pPr>
    <w:rPr>
      <w:rFonts w:ascii="Times New Roman" w:hAnsi="Times New Roman" w:cs="Times New Roman"/>
      <w:sz w:val="24"/>
      <w:szCs w:val="24"/>
    </w:rPr>
  </w:style>
  <w:style w:type="paragraph" w:styleId="ListParagraph">
    <w:name w:val="List Paragraph"/>
    <w:basedOn w:val="Normal"/>
    <w:uiPriority w:val="34"/>
    <w:qFormat/>
    <w:rsid w:val="00B938DA"/>
    <w:pPr>
      <w:ind w:left="720"/>
    </w:pPr>
  </w:style>
  <w:style w:type="paragraph" w:styleId="Header">
    <w:name w:val="header"/>
    <w:basedOn w:val="Normal"/>
    <w:link w:val="HeaderChar"/>
    <w:uiPriority w:val="99"/>
    <w:unhideWhenUsed/>
    <w:rsid w:val="00B938DA"/>
    <w:pPr>
      <w:tabs>
        <w:tab w:val="center" w:pos="4680"/>
        <w:tab w:val="right" w:pos="9360"/>
      </w:tabs>
    </w:pPr>
  </w:style>
  <w:style w:type="character" w:customStyle="1" w:styleId="HeaderChar">
    <w:name w:val="Header Char"/>
    <w:link w:val="Header"/>
    <w:uiPriority w:val="99"/>
    <w:locked/>
    <w:rsid w:val="00B938DA"/>
    <w:rPr>
      <w:rFonts w:ascii="Times New Roman" w:hAnsi="Times New Roman" w:cs="Times New Roman"/>
      <w:sz w:val="20"/>
    </w:rPr>
  </w:style>
  <w:style w:type="character" w:styleId="CommentReference">
    <w:name w:val="annotation reference"/>
    <w:basedOn w:val="DefaultParagraphFont"/>
    <w:uiPriority w:val="99"/>
    <w:semiHidden/>
    <w:unhideWhenUsed/>
    <w:rsid w:val="003A5B67"/>
    <w:rPr>
      <w:sz w:val="16"/>
      <w:szCs w:val="16"/>
    </w:rPr>
  </w:style>
  <w:style w:type="paragraph" w:styleId="CommentText">
    <w:name w:val="annotation text"/>
    <w:basedOn w:val="Normal"/>
    <w:link w:val="CommentTextChar"/>
    <w:uiPriority w:val="99"/>
    <w:semiHidden/>
    <w:unhideWhenUsed/>
    <w:rsid w:val="003A5B67"/>
  </w:style>
  <w:style w:type="character" w:customStyle="1" w:styleId="CommentTextChar">
    <w:name w:val="Comment Text Char"/>
    <w:basedOn w:val="DefaultParagraphFont"/>
    <w:link w:val="CommentText"/>
    <w:uiPriority w:val="99"/>
    <w:semiHidden/>
    <w:rsid w:val="003A5B6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A5B67"/>
    <w:rPr>
      <w:b/>
      <w:bCs/>
    </w:rPr>
  </w:style>
  <w:style w:type="character" w:customStyle="1" w:styleId="CommentSubjectChar">
    <w:name w:val="Comment Subject Char"/>
    <w:basedOn w:val="CommentTextChar"/>
    <w:link w:val="CommentSubject"/>
    <w:uiPriority w:val="99"/>
    <w:semiHidden/>
    <w:rsid w:val="003A5B67"/>
    <w:rPr>
      <w:rFonts w:ascii="Times New Roman" w:hAnsi="Times New Roman" w:cs="Times New Roman"/>
      <w:b/>
      <w:bCs/>
    </w:rPr>
  </w:style>
  <w:style w:type="paragraph" w:styleId="BalloonText">
    <w:name w:val="Balloon Text"/>
    <w:basedOn w:val="Normal"/>
    <w:link w:val="BalloonTextChar"/>
    <w:uiPriority w:val="99"/>
    <w:semiHidden/>
    <w:unhideWhenUsed/>
    <w:rsid w:val="003A5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67"/>
    <w:rPr>
      <w:rFonts w:ascii="Segoe UI" w:hAnsi="Segoe UI" w:cs="Segoe UI"/>
      <w:sz w:val="18"/>
      <w:szCs w:val="18"/>
    </w:rPr>
  </w:style>
  <w:style w:type="paragraph" w:styleId="NormalWeb">
    <w:name w:val="Normal (Web)"/>
    <w:basedOn w:val="Normal"/>
    <w:uiPriority w:val="99"/>
    <w:semiHidden/>
    <w:unhideWhenUsed/>
    <w:rsid w:val="003A5B67"/>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5060DB"/>
  </w:style>
  <w:style w:type="character" w:customStyle="1" w:styleId="EndnoteTextChar">
    <w:name w:val="Endnote Text Char"/>
    <w:basedOn w:val="DefaultParagraphFont"/>
    <w:link w:val="EndnoteText"/>
    <w:uiPriority w:val="99"/>
    <w:semiHidden/>
    <w:rsid w:val="005060DB"/>
    <w:rPr>
      <w:rFonts w:ascii="Times New Roman" w:hAnsi="Times New Roman" w:cs="Times New Roman"/>
    </w:rPr>
  </w:style>
  <w:style w:type="character" w:styleId="EndnoteReference">
    <w:name w:val="endnote reference"/>
    <w:basedOn w:val="DefaultParagraphFont"/>
    <w:uiPriority w:val="99"/>
    <w:semiHidden/>
    <w:unhideWhenUsed/>
    <w:rsid w:val="005060DB"/>
    <w:rPr>
      <w:vertAlign w:val="superscript"/>
    </w:rPr>
  </w:style>
  <w:style w:type="paragraph" w:styleId="Revision">
    <w:name w:val="Revision"/>
    <w:hidden/>
    <w:uiPriority w:val="99"/>
    <w:semiHidden/>
    <w:rsid w:val="00931F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861">
      <w:bodyDiv w:val="1"/>
      <w:marLeft w:val="0"/>
      <w:marRight w:val="0"/>
      <w:marTop w:val="0"/>
      <w:marBottom w:val="0"/>
      <w:divBdr>
        <w:top w:val="none" w:sz="0" w:space="0" w:color="auto"/>
        <w:left w:val="none" w:sz="0" w:space="0" w:color="auto"/>
        <w:bottom w:val="none" w:sz="0" w:space="0" w:color="auto"/>
        <w:right w:val="none" w:sz="0" w:space="0" w:color="auto"/>
      </w:divBdr>
    </w:div>
    <w:div w:id="284772736">
      <w:bodyDiv w:val="1"/>
      <w:marLeft w:val="0"/>
      <w:marRight w:val="0"/>
      <w:marTop w:val="0"/>
      <w:marBottom w:val="0"/>
      <w:divBdr>
        <w:top w:val="none" w:sz="0" w:space="0" w:color="auto"/>
        <w:left w:val="none" w:sz="0" w:space="0" w:color="auto"/>
        <w:bottom w:val="none" w:sz="0" w:space="0" w:color="auto"/>
        <w:right w:val="none" w:sz="0" w:space="0" w:color="auto"/>
      </w:divBdr>
    </w:div>
    <w:div w:id="363094125">
      <w:bodyDiv w:val="1"/>
      <w:marLeft w:val="0"/>
      <w:marRight w:val="0"/>
      <w:marTop w:val="0"/>
      <w:marBottom w:val="0"/>
      <w:divBdr>
        <w:top w:val="none" w:sz="0" w:space="0" w:color="auto"/>
        <w:left w:val="none" w:sz="0" w:space="0" w:color="auto"/>
        <w:bottom w:val="none" w:sz="0" w:space="0" w:color="auto"/>
        <w:right w:val="none" w:sz="0" w:space="0" w:color="auto"/>
      </w:divBdr>
    </w:div>
    <w:div w:id="451630665">
      <w:bodyDiv w:val="1"/>
      <w:marLeft w:val="0"/>
      <w:marRight w:val="0"/>
      <w:marTop w:val="0"/>
      <w:marBottom w:val="0"/>
      <w:divBdr>
        <w:top w:val="none" w:sz="0" w:space="0" w:color="auto"/>
        <w:left w:val="none" w:sz="0" w:space="0" w:color="auto"/>
        <w:bottom w:val="none" w:sz="0" w:space="0" w:color="auto"/>
        <w:right w:val="none" w:sz="0" w:space="0" w:color="auto"/>
      </w:divBdr>
    </w:div>
    <w:div w:id="575212199">
      <w:bodyDiv w:val="1"/>
      <w:marLeft w:val="0"/>
      <w:marRight w:val="0"/>
      <w:marTop w:val="0"/>
      <w:marBottom w:val="0"/>
      <w:divBdr>
        <w:top w:val="none" w:sz="0" w:space="0" w:color="auto"/>
        <w:left w:val="none" w:sz="0" w:space="0" w:color="auto"/>
        <w:bottom w:val="none" w:sz="0" w:space="0" w:color="auto"/>
        <w:right w:val="none" w:sz="0" w:space="0" w:color="auto"/>
      </w:divBdr>
    </w:div>
    <w:div w:id="639919636">
      <w:bodyDiv w:val="1"/>
      <w:marLeft w:val="0"/>
      <w:marRight w:val="0"/>
      <w:marTop w:val="0"/>
      <w:marBottom w:val="0"/>
      <w:divBdr>
        <w:top w:val="none" w:sz="0" w:space="0" w:color="auto"/>
        <w:left w:val="none" w:sz="0" w:space="0" w:color="auto"/>
        <w:bottom w:val="none" w:sz="0" w:space="0" w:color="auto"/>
        <w:right w:val="none" w:sz="0" w:space="0" w:color="auto"/>
      </w:divBdr>
    </w:div>
    <w:div w:id="692266803">
      <w:bodyDiv w:val="1"/>
      <w:marLeft w:val="0"/>
      <w:marRight w:val="0"/>
      <w:marTop w:val="0"/>
      <w:marBottom w:val="0"/>
      <w:divBdr>
        <w:top w:val="none" w:sz="0" w:space="0" w:color="auto"/>
        <w:left w:val="none" w:sz="0" w:space="0" w:color="auto"/>
        <w:bottom w:val="none" w:sz="0" w:space="0" w:color="auto"/>
        <w:right w:val="none" w:sz="0" w:space="0" w:color="auto"/>
      </w:divBdr>
    </w:div>
    <w:div w:id="1361006894">
      <w:bodyDiv w:val="1"/>
      <w:marLeft w:val="0"/>
      <w:marRight w:val="0"/>
      <w:marTop w:val="0"/>
      <w:marBottom w:val="0"/>
      <w:divBdr>
        <w:top w:val="none" w:sz="0" w:space="0" w:color="auto"/>
        <w:left w:val="none" w:sz="0" w:space="0" w:color="auto"/>
        <w:bottom w:val="none" w:sz="0" w:space="0" w:color="auto"/>
        <w:right w:val="none" w:sz="0" w:space="0" w:color="auto"/>
      </w:divBdr>
    </w:div>
    <w:div w:id="1578049521">
      <w:bodyDiv w:val="1"/>
      <w:marLeft w:val="0"/>
      <w:marRight w:val="0"/>
      <w:marTop w:val="0"/>
      <w:marBottom w:val="0"/>
      <w:divBdr>
        <w:top w:val="none" w:sz="0" w:space="0" w:color="auto"/>
        <w:left w:val="none" w:sz="0" w:space="0" w:color="auto"/>
        <w:bottom w:val="none" w:sz="0" w:space="0" w:color="auto"/>
        <w:right w:val="none" w:sz="0" w:space="0" w:color="auto"/>
      </w:divBdr>
    </w:div>
    <w:div w:id="1637107639">
      <w:bodyDiv w:val="1"/>
      <w:marLeft w:val="0"/>
      <w:marRight w:val="0"/>
      <w:marTop w:val="0"/>
      <w:marBottom w:val="0"/>
      <w:divBdr>
        <w:top w:val="none" w:sz="0" w:space="0" w:color="auto"/>
        <w:left w:val="none" w:sz="0" w:space="0" w:color="auto"/>
        <w:bottom w:val="none" w:sz="0" w:space="0" w:color="auto"/>
        <w:right w:val="none" w:sz="0" w:space="0" w:color="auto"/>
      </w:divBdr>
    </w:div>
    <w:div w:id="1645575162">
      <w:bodyDiv w:val="1"/>
      <w:marLeft w:val="0"/>
      <w:marRight w:val="0"/>
      <w:marTop w:val="0"/>
      <w:marBottom w:val="0"/>
      <w:divBdr>
        <w:top w:val="none" w:sz="0" w:space="0" w:color="auto"/>
        <w:left w:val="none" w:sz="0" w:space="0" w:color="auto"/>
        <w:bottom w:val="none" w:sz="0" w:space="0" w:color="auto"/>
        <w:right w:val="none" w:sz="0" w:space="0" w:color="auto"/>
      </w:divBdr>
    </w:div>
    <w:div w:id="1874657934">
      <w:bodyDiv w:val="1"/>
      <w:marLeft w:val="0"/>
      <w:marRight w:val="0"/>
      <w:marTop w:val="0"/>
      <w:marBottom w:val="0"/>
      <w:divBdr>
        <w:top w:val="none" w:sz="0" w:space="0" w:color="auto"/>
        <w:left w:val="none" w:sz="0" w:space="0" w:color="auto"/>
        <w:bottom w:val="none" w:sz="0" w:space="0" w:color="auto"/>
        <w:right w:val="none" w:sz="0" w:space="0" w:color="auto"/>
      </w:divBdr>
    </w:div>
    <w:div w:id="2056001417">
      <w:bodyDiv w:val="1"/>
      <w:marLeft w:val="0"/>
      <w:marRight w:val="0"/>
      <w:marTop w:val="0"/>
      <w:marBottom w:val="0"/>
      <w:divBdr>
        <w:top w:val="none" w:sz="0" w:space="0" w:color="auto"/>
        <w:left w:val="none" w:sz="0" w:space="0" w:color="auto"/>
        <w:bottom w:val="none" w:sz="0" w:space="0" w:color="auto"/>
        <w:right w:val="none" w:sz="0" w:space="0" w:color="auto"/>
      </w:divBdr>
      <w:divsChild>
        <w:div w:id="34892731">
          <w:marLeft w:val="1125"/>
          <w:marRight w:val="0"/>
          <w:marTop w:val="75"/>
          <w:marBottom w:val="75"/>
          <w:divBdr>
            <w:top w:val="single" w:sz="6" w:space="4" w:color="CC00CC"/>
            <w:left w:val="single" w:sz="6" w:space="4" w:color="CC00CC"/>
            <w:bottom w:val="single" w:sz="6" w:space="4" w:color="CC00CC"/>
            <w:right w:val="single" w:sz="6" w:space="4" w:color="CC00CC"/>
          </w:divBdr>
        </w:div>
      </w:divsChild>
    </w:div>
    <w:div w:id="211120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8BE5-B994-4167-A2CA-6CB5A0D3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92</cp:revision>
  <dcterms:created xsi:type="dcterms:W3CDTF">2022-02-17T01:14:00Z</dcterms:created>
  <dcterms:modified xsi:type="dcterms:W3CDTF">2022-05-17T16:01:00Z</dcterms:modified>
</cp:coreProperties>
</file>