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E5" w:rsidRPr="00E4092F" w:rsidRDefault="008F76E5" w:rsidP="00E4092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Pr="00E4092F">
        <w:rPr>
          <w:rFonts w:ascii="Times New Roman" w:hAnsi="Times New Roman" w:cs="Times New Roman"/>
          <w:b/>
          <w:bCs/>
          <w:sz w:val="28"/>
          <w:szCs w:val="28"/>
        </w:rPr>
        <w:t>8.</w:t>
      </w:r>
      <w:r w:rsidR="002802D5">
        <w:rPr>
          <w:rFonts w:ascii="Times New Roman" w:hAnsi="Times New Roman" w:cs="Times New Roman"/>
          <w:b/>
          <w:bCs/>
          <w:sz w:val="28"/>
          <w:szCs w:val="28"/>
        </w:rPr>
        <w:t>27</w:t>
      </w:r>
      <w:r w:rsidRPr="00E4092F">
        <w:rPr>
          <w:rFonts w:ascii="Times New Roman" w:hAnsi="Times New Roman" w:cs="Times New Roman"/>
          <w:b/>
          <w:bCs/>
          <w:sz w:val="28"/>
          <w:szCs w:val="28"/>
        </w:rPr>
        <w:t>. Statement of Pedigree</w:t>
      </w:r>
    </w:p>
    <w:p w:rsidR="008F76E5" w:rsidRPr="00E4092F" w:rsidRDefault="008F76E5" w:rsidP="00E4092F">
      <w:pPr>
        <w:pStyle w:val="NoSpacing"/>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488"/>
        </w:tabs>
        <w:ind w:left="432" w:right="432"/>
        <w:rPr>
          <w:rFonts w:ascii="Times New Roman" w:hAnsi="Times New Roman" w:cs="Times New Roman"/>
          <w:sz w:val="28"/>
          <w:szCs w:val="28"/>
        </w:rPr>
      </w:pPr>
    </w:p>
    <w:p w:rsidR="008F76E5" w:rsidRPr="00E4092F" w:rsidRDefault="008F76E5" w:rsidP="00E71E89">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E4092F">
        <w:rPr>
          <w:b/>
          <w:bCs/>
          <w:sz w:val="28"/>
          <w:szCs w:val="28"/>
        </w:rPr>
        <w:t xml:space="preserve"> An out-of-court statement by a declarant concerning th</w:t>
      </w:r>
      <w:r w:rsidR="00956A0B">
        <w:rPr>
          <w:b/>
          <w:bCs/>
          <w:sz w:val="28"/>
          <w:szCs w:val="28"/>
        </w:rPr>
        <w:t>e declarant’s or another person’</w:t>
      </w:r>
      <w:r w:rsidRPr="00E4092F">
        <w:rPr>
          <w:b/>
          <w:bCs/>
          <w:sz w:val="28"/>
          <w:szCs w:val="28"/>
        </w:rPr>
        <w:t>s birth, adoption, death, lineage, marriage, legitimacy or other relationship between or among family members or other similar fact of personal or family history, made before the controversy, is admissible even though the declarant had no means of acquiring</w:t>
      </w:r>
      <w:bookmarkStart w:id="0" w:name="_GoBack"/>
      <w:bookmarkEnd w:id="0"/>
      <w:r w:rsidRPr="00E4092F">
        <w:rPr>
          <w:b/>
          <w:bCs/>
          <w:sz w:val="28"/>
          <w:szCs w:val="28"/>
        </w:rPr>
        <w:t xml:space="preserve"> personal knowledge of the matter stated, provided that the relationship of the declarant with the family is established by some proof independent of the declaration itself, and the declarant is not available as a witness. </w:t>
      </w:r>
    </w:p>
    <w:p w:rsidR="008F76E5" w:rsidRPr="00E4092F" w:rsidRDefault="008F76E5" w:rsidP="00E71E89">
      <w:pPr>
        <w:widowControl/>
        <w:numPr>
          <w:ilvl w:val="12"/>
          <w:numId w:val="0"/>
        </w:numPr>
        <w:tabs>
          <w:tab w:val="left" w:pos="432"/>
          <w:tab w:val="left" w:pos="1656"/>
          <w:tab w:val="left" w:pos="2376"/>
          <w:tab w:val="left" w:pos="3096"/>
          <w:tab w:val="left" w:pos="3816"/>
          <w:tab w:val="left" w:pos="4536"/>
          <w:tab w:val="left" w:pos="5256"/>
          <w:tab w:val="left" w:pos="5976"/>
          <w:tab w:val="left" w:pos="6694"/>
        </w:tabs>
        <w:ind w:left="720" w:right="720"/>
        <w:jc w:val="both"/>
        <w:rPr>
          <w:b/>
          <w:bCs/>
          <w:sz w:val="28"/>
          <w:szCs w:val="28"/>
        </w:rPr>
      </w:pPr>
    </w:p>
    <w:p w:rsidR="008F76E5" w:rsidRPr="00E4092F" w:rsidRDefault="00256C00" w:rsidP="00E71E89">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Pr>
          <w:b/>
          <w:bCs/>
          <w:sz w:val="28"/>
          <w:szCs w:val="28"/>
        </w:rPr>
        <w:t xml:space="preserve"> </w:t>
      </w:r>
      <w:r w:rsidR="008F76E5" w:rsidRPr="00E4092F">
        <w:rPr>
          <w:b/>
          <w:bCs/>
          <w:sz w:val="28"/>
          <w:szCs w:val="28"/>
        </w:rPr>
        <w:t>A statement admissible under this exception may be in any form.</w:t>
      </w:r>
    </w:p>
    <w:p w:rsidR="008F76E5" w:rsidRPr="00E4092F" w:rsidRDefault="008F76E5" w:rsidP="00E71E89">
      <w:pPr>
        <w:widowControl/>
        <w:numPr>
          <w:ilvl w:val="12"/>
          <w:numId w:val="0"/>
        </w:numPr>
        <w:tabs>
          <w:tab w:val="left" w:pos="432"/>
          <w:tab w:val="left" w:pos="1656"/>
          <w:tab w:val="left" w:pos="2376"/>
          <w:tab w:val="left" w:pos="3096"/>
          <w:tab w:val="left" w:pos="3816"/>
          <w:tab w:val="left" w:pos="4536"/>
          <w:tab w:val="left" w:pos="5256"/>
          <w:tab w:val="left" w:pos="5976"/>
          <w:tab w:val="left" w:pos="6694"/>
        </w:tabs>
        <w:ind w:left="720" w:right="720"/>
        <w:jc w:val="both"/>
        <w:rPr>
          <w:b/>
          <w:bCs/>
          <w:sz w:val="28"/>
          <w:szCs w:val="28"/>
        </w:rPr>
      </w:pPr>
    </w:p>
    <w:p w:rsidR="008F76E5" w:rsidRPr="00E4092F" w:rsidRDefault="00256C00" w:rsidP="00E71E89">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Pr>
          <w:b/>
          <w:bCs/>
          <w:sz w:val="28"/>
          <w:szCs w:val="28"/>
        </w:rPr>
        <w:t xml:space="preserve"> </w:t>
      </w:r>
      <w:r w:rsidR="008F76E5" w:rsidRPr="00E4092F">
        <w:rPr>
          <w:b/>
          <w:bCs/>
          <w:sz w:val="28"/>
          <w:szCs w:val="28"/>
        </w:rPr>
        <w:t>A witness may testify to his or her own pedigree.</w:t>
      </w:r>
    </w:p>
    <w:p w:rsidR="008F76E5" w:rsidRDefault="008F76E5" w:rsidP="00E4092F">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8"/>
          <w:szCs w:val="28"/>
        </w:rPr>
      </w:pPr>
    </w:p>
    <w:p w:rsidR="008F76E5" w:rsidRPr="00E4092F" w:rsidRDefault="008F76E5" w:rsidP="00E4092F">
      <w:pPr>
        <w:pStyle w:val="NoSpacing"/>
        <w:widowControl/>
        <w:numPr>
          <w:ilvl w:val="12"/>
          <w:numId w:val="0"/>
        </w:numPr>
        <w:tabs>
          <w:tab w:val="left" w:pos="2880"/>
          <w:tab w:val="left" w:pos="3600"/>
          <w:tab w:val="left" w:pos="4320"/>
          <w:tab w:val="left" w:pos="5040"/>
          <w:tab w:val="left" w:pos="5760"/>
          <w:tab w:val="left" w:pos="6480"/>
          <w:tab w:val="left" w:pos="7200"/>
          <w:tab w:val="left" w:pos="7918"/>
        </w:tabs>
        <w:ind w:left="2880" w:firstLine="720"/>
        <w:rPr>
          <w:rFonts w:ascii="Times New Roman" w:hAnsi="Times New Roman" w:cs="Times New Roman"/>
          <w:b/>
          <w:bCs/>
          <w:sz w:val="24"/>
          <w:szCs w:val="24"/>
        </w:rPr>
      </w:pPr>
      <w:r w:rsidRPr="00E4092F">
        <w:rPr>
          <w:rFonts w:ascii="Times New Roman" w:hAnsi="Times New Roman" w:cs="Times New Roman"/>
          <w:b/>
          <w:bCs/>
          <w:sz w:val="24"/>
          <w:szCs w:val="24"/>
        </w:rPr>
        <w:t>Note</w:t>
      </w:r>
    </w:p>
    <w:p w:rsidR="00E4092F" w:rsidRPr="00E4092F" w:rsidRDefault="00E4092F" w:rsidP="00E4092F">
      <w:pPr>
        <w:pStyle w:val="NoSpacing"/>
        <w:widowControl/>
        <w:numPr>
          <w:ilvl w:val="12"/>
          <w:numId w:val="0"/>
        </w:numPr>
        <w:tabs>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4"/>
          <w:szCs w:val="24"/>
        </w:rPr>
      </w:pPr>
    </w:p>
    <w:p w:rsidR="008F76E5" w:rsidRDefault="008F76E5" w:rsidP="00E409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4092F">
        <w:rPr>
          <w:b/>
          <w:bCs/>
          <w:sz w:val="24"/>
          <w:szCs w:val="24"/>
        </w:rPr>
        <w:tab/>
        <w:t>Subdivision (1).</w:t>
      </w:r>
      <w:r w:rsidRPr="00E4092F">
        <w:rPr>
          <w:sz w:val="24"/>
          <w:szCs w:val="24"/>
        </w:rPr>
        <w:t xml:space="preserve"> Pedigree means the history of family descent that is transmitted from one generation to another and encompasses such matters as birth, descent, marriage, death and relationship. Pedigree declarations “extend to any inquiry necessarily involving these events, or which tend to show that either, some or all of them took place or did not.</w:t>
      </w:r>
      <w:r w:rsidR="00CE0A05">
        <w:rPr>
          <w:sz w:val="24"/>
          <w:szCs w:val="24"/>
        </w:rPr>
        <w:t>”</w:t>
      </w:r>
      <w:r w:rsidRPr="00E4092F">
        <w:rPr>
          <w:sz w:val="24"/>
          <w:szCs w:val="24"/>
        </w:rPr>
        <w:t xml:space="preserve"> (</w:t>
      </w:r>
      <w:r w:rsidRPr="00E4092F">
        <w:rPr>
          <w:i/>
          <w:iCs/>
          <w:sz w:val="24"/>
          <w:szCs w:val="24"/>
        </w:rPr>
        <w:t>Washington v Bank for Sav. in City of N.Y.</w:t>
      </w:r>
      <w:r w:rsidRPr="00E4092F">
        <w:rPr>
          <w:sz w:val="24"/>
          <w:szCs w:val="24"/>
        </w:rPr>
        <w:t>, 171 NY 166, 175 [1902].)</w:t>
      </w:r>
    </w:p>
    <w:p w:rsidR="00E4092F" w:rsidRPr="00E4092F" w:rsidRDefault="00E4092F" w:rsidP="00E409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F76E5" w:rsidRDefault="008F76E5" w:rsidP="00E409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4092F">
        <w:rPr>
          <w:sz w:val="24"/>
          <w:szCs w:val="24"/>
        </w:rPr>
        <w:tab/>
        <w:t xml:space="preserve">Pedigree declarations are “a </w:t>
      </w:r>
      <w:proofErr w:type="spellStart"/>
      <w:r w:rsidRPr="00E4092F">
        <w:rPr>
          <w:sz w:val="24"/>
          <w:szCs w:val="24"/>
        </w:rPr>
        <w:t>well known</w:t>
      </w:r>
      <w:proofErr w:type="spellEnd"/>
      <w:r w:rsidRPr="00E4092F">
        <w:rPr>
          <w:sz w:val="24"/>
          <w:szCs w:val="24"/>
        </w:rPr>
        <w:t xml:space="preserve"> and recognized exception to the general rule excluding hearsay evidence.</w:t>
      </w:r>
      <w:r w:rsidR="00CE0A05">
        <w:rPr>
          <w:sz w:val="24"/>
          <w:szCs w:val="24"/>
        </w:rPr>
        <w:t>”</w:t>
      </w:r>
      <w:r w:rsidRPr="00E4092F">
        <w:rPr>
          <w:sz w:val="24"/>
          <w:szCs w:val="24"/>
        </w:rPr>
        <w:t xml:space="preserve"> (</w:t>
      </w:r>
      <w:proofErr w:type="spellStart"/>
      <w:r w:rsidRPr="00E4092F">
        <w:rPr>
          <w:i/>
          <w:iCs/>
          <w:sz w:val="24"/>
          <w:szCs w:val="24"/>
        </w:rPr>
        <w:t>Eisenlord</w:t>
      </w:r>
      <w:proofErr w:type="spellEnd"/>
      <w:r w:rsidRPr="00E4092F">
        <w:rPr>
          <w:i/>
          <w:iCs/>
          <w:sz w:val="24"/>
          <w:szCs w:val="24"/>
        </w:rPr>
        <w:t xml:space="preserve"> v </w:t>
      </w:r>
      <w:proofErr w:type="spellStart"/>
      <w:r w:rsidRPr="00E4092F">
        <w:rPr>
          <w:i/>
          <w:iCs/>
          <w:sz w:val="24"/>
          <w:szCs w:val="24"/>
        </w:rPr>
        <w:t>Clum</w:t>
      </w:r>
      <w:proofErr w:type="spellEnd"/>
      <w:r w:rsidRPr="00E4092F">
        <w:rPr>
          <w:sz w:val="24"/>
          <w:szCs w:val="24"/>
        </w:rPr>
        <w:t>, 126 NY 552, 563 [1891].) They are “admitted on the principle that they are the natural effusions of persons who must know the truth and who speak on occasions when their minds stand in an even position without any temptation to exceed or fall short of the truth.</w:t>
      </w:r>
      <w:r w:rsidR="00CE0A05">
        <w:rPr>
          <w:sz w:val="24"/>
          <w:szCs w:val="24"/>
        </w:rPr>
        <w:t>”</w:t>
      </w:r>
      <w:r w:rsidRPr="00E4092F">
        <w:rPr>
          <w:sz w:val="24"/>
          <w:szCs w:val="24"/>
        </w:rPr>
        <w:t xml:space="preserve"> (</w:t>
      </w:r>
      <w:proofErr w:type="spellStart"/>
      <w:r w:rsidRPr="00E4092F">
        <w:rPr>
          <w:i/>
          <w:iCs/>
          <w:sz w:val="24"/>
          <w:szCs w:val="24"/>
        </w:rPr>
        <w:t>Aalholm</w:t>
      </w:r>
      <w:proofErr w:type="spellEnd"/>
      <w:r w:rsidRPr="00E4092F">
        <w:rPr>
          <w:i/>
          <w:iCs/>
          <w:sz w:val="24"/>
          <w:szCs w:val="24"/>
        </w:rPr>
        <w:t xml:space="preserve"> v People</w:t>
      </w:r>
      <w:r w:rsidRPr="00E4092F">
        <w:rPr>
          <w:sz w:val="24"/>
          <w:szCs w:val="24"/>
        </w:rPr>
        <w:t>, 211 NY 406, 412 [1914].) The exception encompasses statements by a declarant concerning his or her personal family history or another’s personal or family history.</w:t>
      </w:r>
    </w:p>
    <w:p w:rsidR="00E4092F" w:rsidRPr="00E4092F" w:rsidRDefault="00E4092F" w:rsidP="00E409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F76E5" w:rsidRDefault="008F76E5" w:rsidP="00E409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4092F">
        <w:rPr>
          <w:sz w:val="24"/>
          <w:szCs w:val="24"/>
        </w:rPr>
        <w:tab/>
        <w:t>The formulation of the rule is based on the decisional law of the Court of Appeals. Thus, the Court has held that</w:t>
      </w:r>
    </w:p>
    <w:p w:rsidR="00E4092F" w:rsidRPr="00E4092F" w:rsidRDefault="00E4092F" w:rsidP="00E409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F76E5" w:rsidRDefault="008F76E5" w:rsidP="00E4092F">
      <w:pPr>
        <w:widowControl/>
        <w:numPr>
          <w:ilvl w:val="0"/>
          <w:numId w:val="2"/>
        </w:numPr>
        <w:tabs>
          <w:tab w:val="left" w:pos="720"/>
          <w:tab w:val="left" w:pos="1080"/>
          <w:tab w:val="left" w:pos="2160"/>
          <w:tab w:val="left" w:pos="2880"/>
          <w:tab w:val="left" w:pos="3600"/>
          <w:tab w:val="left" w:pos="4320"/>
          <w:tab w:val="left" w:pos="5040"/>
          <w:tab w:val="left" w:pos="5760"/>
          <w:tab w:val="left" w:pos="6480"/>
          <w:tab w:val="left" w:pos="7200"/>
        </w:tabs>
        <w:ind w:left="1080" w:right="720"/>
        <w:jc w:val="both"/>
        <w:rPr>
          <w:sz w:val="24"/>
          <w:szCs w:val="24"/>
        </w:rPr>
      </w:pPr>
      <w:r w:rsidRPr="00E4092F">
        <w:rPr>
          <w:color w:val="252525"/>
          <w:sz w:val="24"/>
          <w:szCs w:val="24"/>
        </w:rPr>
        <w:lastRenderedPageBreak/>
        <w:t>a p</w:t>
      </w:r>
      <w:r w:rsidRPr="00E4092F">
        <w:rPr>
          <w:sz w:val="24"/>
          <w:szCs w:val="24"/>
        </w:rPr>
        <w:t>edigree declaration must have been made before the controversy giving rise to the action (</w:t>
      </w:r>
      <w:proofErr w:type="spellStart"/>
      <w:r w:rsidRPr="00E4092F">
        <w:rPr>
          <w:i/>
          <w:iCs/>
          <w:sz w:val="24"/>
          <w:szCs w:val="24"/>
        </w:rPr>
        <w:t>Aalholm</w:t>
      </w:r>
      <w:proofErr w:type="spellEnd"/>
      <w:r w:rsidRPr="00E4092F">
        <w:rPr>
          <w:sz w:val="24"/>
          <w:szCs w:val="24"/>
        </w:rPr>
        <w:t xml:space="preserve">, 211 NY at 412-413; </w:t>
      </w:r>
      <w:r w:rsidRPr="00E4092F">
        <w:rPr>
          <w:i/>
          <w:iCs/>
          <w:sz w:val="24"/>
          <w:szCs w:val="24"/>
        </w:rPr>
        <w:t xml:space="preserve">Young v </w:t>
      </w:r>
      <w:proofErr w:type="spellStart"/>
      <w:r w:rsidRPr="00E4092F">
        <w:rPr>
          <w:i/>
          <w:iCs/>
          <w:sz w:val="24"/>
          <w:szCs w:val="24"/>
        </w:rPr>
        <w:t>Shulenberg</w:t>
      </w:r>
      <w:proofErr w:type="spellEnd"/>
      <w:r w:rsidRPr="00E4092F">
        <w:rPr>
          <w:sz w:val="24"/>
          <w:szCs w:val="24"/>
        </w:rPr>
        <w:t>, 1</w:t>
      </w:r>
      <w:r w:rsidR="00E4092F">
        <w:rPr>
          <w:sz w:val="24"/>
          <w:szCs w:val="24"/>
        </w:rPr>
        <w:t>65 NY 385, 388 [1901]);</w:t>
      </w:r>
    </w:p>
    <w:p w:rsidR="00256C00" w:rsidRDefault="00256C00" w:rsidP="00256C00">
      <w:pPr>
        <w:widowControl/>
        <w:tabs>
          <w:tab w:val="left" w:pos="720"/>
          <w:tab w:val="left" w:pos="1080"/>
          <w:tab w:val="left" w:pos="2160"/>
          <w:tab w:val="left" w:pos="2880"/>
          <w:tab w:val="left" w:pos="3600"/>
          <w:tab w:val="left" w:pos="4320"/>
          <w:tab w:val="left" w:pos="5040"/>
          <w:tab w:val="left" w:pos="5760"/>
          <w:tab w:val="left" w:pos="6480"/>
          <w:tab w:val="left" w:pos="7200"/>
        </w:tabs>
        <w:ind w:right="720"/>
        <w:jc w:val="both"/>
        <w:rPr>
          <w:sz w:val="24"/>
          <w:szCs w:val="24"/>
        </w:rPr>
      </w:pPr>
    </w:p>
    <w:p w:rsidR="008F76E5" w:rsidRDefault="008F76E5" w:rsidP="00256C00">
      <w:pPr>
        <w:widowControl/>
        <w:numPr>
          <w:ilvl w:val="0"/>
          <w:numId w:val="2"/>
        </w:numPr>
        <w:tabs>
          <w:tab w:val="left" w:pos="720"/>
          <w:tab w:val="left" w:pos="1080"/>
          <w:tab w:val="left" w:pos="2160"/>
          <w:tab w:val="left" w:pos="2880"/>
          <w:tab w:val="left" w:pos="3600"/>
          <w:tab w:val="left" w:pos="4320"/>
          <w:tab w:val="left" w:pos="5040"/>
          <w:tab w:val="left" w:pos="5760"/>
          <w:tab w:val="left" w:pos="6480"/>
          <w:tab w:val="left" w:pos="7200"/>
        </w:tabs>
        <w:ind w:left="1080" w:right="720"/>
        <w:jc w:val="both"/>
        <w:rPr>
          <w:sz w:val="24"/>
          <w:szCs w:val="24"/>
        </w:rPr>
      </w:pPr>
      <w:r w:rsidRPr="00256C00">
        <w:rPr>
          <w:sz w:val="24"/>
          <w:szCs w:val="24"/>
        </w:rPr>
        <w:t>t</w:t>
      </w:r>
      <w:r w:rsidRPr="00256C00">
        <w:rPr>
          <w:color w:val="212121"/>
          <w:sz w:val="24"/>
          <w:szCs w:val="24"/>
        </w:rPr>
        <w:t>he declaration to be admissible “need not be upon the knowledge of the declarant”</w:t>
      </w:r>
      <w:r w:rsidRPr="00256C00">
        <w:rPr>
          <w:b/>
          <w:bCs/>
          <w:sz w:val="24"/>
          <w:szCs w:val="24"/>
        </w:rPr>
        <w:t xml:space="preserve"> (</w:t>
      </w:r>
      <w:proofErr w:type="spellStart"/>
      <w:r w:rsidRPr="00256C00">
        <w:rPr>
          <w:i/>
          <w:iCs/>
          <w:sz w:val="24"/>
          <w:szCs w:val="24"/>
        </w:rPr>
        <w:t>Eisenlord</w:t>
      </w:r>
      <w:proofErr w:type="spellEnd"/>
      <w:r w:rsidRPr="00256C00">
        <w:rPr>
          <w:sz w:val="24"/>
          <w:szCs w:val="24"/>
        </w:rPr>
        <w:t>, 126 NY at 564); and</w:t>
      </w:r>
    </w:p>
    <w:p w:rsidR="00256C00" w:rsidRDefault="00256C00" w:rsidP="00256C00">
      <w:pPr>
        <w:widowControl/>
        <w:tabs>
          <w:tab w:val="left" w:pos="720"/>
          <w:tab w:val="left" w:pos="1080"/>
          <w:tab w:val="left" w:pos="2160"/>
          <w:tab w:val="left" w:pos="2880"/>
          <w:tab w:val="left" w:pos="3600"/>
          <w:tab w:val="left" w:pos="4320"/>
          <w:tab w:val="left" w:pos="5040"/>
          <w:tab w:val="left" w:pos="5760"/>
          <w:tab w:val="left" w:pos="6480"/>
          <w:tab w:val="left" w:pos="7200"/>
        </w:tabs>
        <w:ind w:right="720"/>
        <w:jc w:val="both"/>
        <w:rPr>
          <w:sz w:val="24"/>
          <w:szCs w:val="24"/>
        </w:rPr>
      </w:pPr>
    </w:p>
    <w:p w:rsidR="008F76E5" w:rsidRPr="00256C00" w:rsidRDefault="008F76E5" w:rsidP="00256C00">
      <w:pPr>
        <w:widowControl/>
        <w:numPr>
          <w:ilvl w:val="0"/>
          <w:numId w:val="2"/>
        </w:numPr>
        <w:tabs>
          <w:tab w:val="left" w:pos="720"/>
          <w:tab w:val="left" w:pos="1080"/>
          <w:tab w:val="left" w:pos="2160"/>
          <w:tab w:val="left" w:pos="2880"/>
          <w:tab w:val="left" w:pos="3600"/>
          <w:tab w:val="left" w:pos="4320"/>
          <w:tab w:val="left" w:pos="5040"/>
          <w:tab w:val="left" w:pos="5760"/>
          <w:tab w:val="left" w:pos="6480"/>
          <w:tab w:val="left" w:pos="7200"/>
        </w:tabs>
        <w:ind w:left="1080" w:right="720"/>
        <w:jc w:val="both"/>
        <w:rPr>
          <w:sz w:val="24"/>
          <w:szCs w:val="24"/>
        </w:rPr>
      </w:pPr>
      <w:r w:rsidRPr="00256C00">
        <w:rPr>
          <w:sz w:val="24"/>
          <w:szCs w:val="24"/>
        </w:rPr>
        <w:t>“[t]he declarant must be related either by blood or affinity to the family concerning which he speaks</w:t>
      </w:r>
      <w:r w:rsidR="00CE0A05">
        <w:rPr>
          <w:sz w:val="24"/>
          <w:szCs w:val="24"/>
        </w:rPr>
        <w:t>”</w:t>
      </w:r>
      <w:r w:rsidRPr="00256C00">
        <w:rPr>
          <w:sz w:val="24"/>
          <w:szCs w:val="24"/>
        </w:rPr>
        <w:t xml:space="preserve"> (</w:t>
      </w:r>
      <w:proofErr w:type="spellStart"/>
      <w:r w:rsidRPr="00256C00">
        <w:rPr>
          <w:i/>
          <w:iCs/>
          <w:sz w:val="24"/>
          <w:szCs w:val="24"/>
        </w:rPr>
        <w:t>Aalholm</w:t>
      </w:r>
      <w:proofErr w:type="spellEnd"/>
      <w:r w:rsidRPr="00256C00">
        <w:rPr>
          <w:sz w:val="24"/>
          <w:szCs w:val="24"/>
        </w:rPr>
        <w:t xml:space="preserve">, 211 NY at 413). </w:t>
      </w:r>
    </w:p>
    <w:p w:rsidR="00E4092F" w:rsidRDefault="00E4092F" w:rsidP="00E409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F76E5" w:rsidRDefault="00E4092F" w:rsidP="00E409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8F76E5" w:rsidRPr="00E4092F">
        <w:rPr>
          <w:sz w:val="24"/>
          <w:szCs w:val="24"/>
        </w:rPr>
        <w:t xml:space="preserve">The Court of Appeals has emphasized as an </w:t>
      </w:r>
      <w:r w:rsidR="00CE0A05">
        <w:rPr>
          <w:sz w:val="24"/>
          <w:szCs w:val="24"/>
        </w:rPr>
        <w:t>“</w:t>
      </w:r>
      <w:r w:rsidR="008F76E5" w:rsidRPr="00E4092F">
        <w:rPr>
          <w:sz w:val="24"/>
          <w:szCs w:val="24"/>
        </w:rPr>
        <w:t>important qualification</w:t>
      </w:r>
      <w:r w:rsidR="00CE0A05">
        <w:rPr>
          <w:sz w:val="24"/>
          <w:szCs w:val="24"/>
        </w:rPr>
        <w:t>” to the exception that, “</w:t>
      </w:r>
      <w:r w:rsidR="008F76E5" w:rsidRPr="00E4092F">
        <w:rPr>
          <w:sz w:val="24"/>
          <w:szCs w:val="24"/>
        </w:rPr>
        <w:t>before a declaration can be admitted in evidence, the relationship of the declarant with the family must be established by some proof independent of the declaration itself,</w:t>
      </w:r>
      <w:r w:rsidR="00CE0A05">
        <w:rPr>
          <w:sz w:val="24"/>
          <w:szCs w:val="24"/>
        </w:rPr>
        <w:t>”</w:t>
      </w:r>
      <w:r w:rsidR="008F76E5" w:rsidRPr="00E4092F">
        <w:rPr>
          <w:sz w:val="24"/>
          <w:szCs w:val="24"/>
        </w:rPr>
        <w:t xml:space="preserve"> although proof of the family relationship may be “slight.</w:t>
      </w:r>
      <w:r w:rsidR="00CE0A05">
        <w:rPr>
          <w:sz w:val="24"/>
          <w:szCs w:val="24"/>
        </w:rPr>
        <w:t>”</w:t>
      </w:r>
      <w:r w:rsidR="008F76E5" w:rsidRPr="00E4092F">
        <w:rPr>
          <w:sz w:val="24"/>
          <w:szCs w:val="24"/>
        </w:rPr>
        <w:t xml:space="preserve"> (</w:t>
      </w:r>
      <w:proofErr w:type="spellStart"/>
      <w:r w:rsidR="008F76E5" w:rsidRPr="00E4092F">
        <w:rPr>
          <w:i/>
          <w:iCs/>
          <w:sz w:val="24"/>
          <w:szCs w:val="24"/>
        </w:rPr>
        <w:t>Aalholm</w:t>
      </w:r>
      <w:proofErr w:type="spellEnd"/>
      <w:r w:rsidR="008F76E5" w:rsidRPr="00E4092F">
        <w:rPr>
          <w:sz w:val="24"/>
          <w:szCs w:val="24"/>
        </w:rPr>
        <w:t xml:space="preserve">, 211 NY at 414-415; </w:t>
      </w:r>
      <w:r w:rsidR="008F76E5" w:rsidRPr="00E4092F">
        <w:rPr>
          <w:i/>
          <w:iCs/>
          <w:sz w:val="24"/>
          <w:szCs w:val="24"/>
        </w:rPr>
        <w:t>Young</w:t>
      </w:r>
      <w:r w:rsidR="008F76E5" w:rsidRPr="00E4092F">
        <w:rPr>
          <w:sz w:val="24"/>
          <w:szCs w:val="24"/>
        </w:rPr>
        <w:t xml:space="preserve">, 165 NY at 388 </w:t>
      </w:r>
      <w:proofErr w:type="gramStart"/>
      <w:r w:rsidR="008F76E5" w:rsidRPr="00E4092F">
        <w:rPr>
          <w:sz w:val="24"/>
          <w:szCs w:val="24"/>
        </w:rPr>
        <w:t>[“</w:t>
      </w:r>
      <w:r w:rsidR="00CE0A05">
        <w:rPr>
          <w:sz w:val="24"/>
          <w:szCs w:val="24"/>
        </w:rPr>
        <w:t xml:space="preserve"> ‘</w:t>
      </w:r>
      <w:proofErr w:type="gramEnd"/>
      <w:r w:rsidR="008F76E5" w:rsidRPr="00E4092F">
        <w:rPr>
          <w:sz w:val="24"/>
          <w:szCs w:val="24"/>
        </w:rPr>
        <w:t>slight proof of the relationship will be required, since the relationship of the declarant with the family might be as difficult to prove as the very fact in controversy</w:t>
      </w:r>
      <w:r w:rsidR="00CE0A05">
        <w:rPr>
          <w:sz w:val="24"/>
          <w:szCs w:val="24"/>
        </w:rPr>
        <w:t>’</w:t>
      </w:r>
      <w:r w:rsidR="008F76E5" w:rsidRPr="00E4092F">
        <w:rPr>
          <w:sz w:val="24"/>
          <w:szCs w:val="24"/>
        </w:rPr>
        <w:t xml:space="preserve"> ” (citation omitted)].)</w:t>
      </w:r>
    </w:p>
    <w:p w:rsidR="00E4092F" w:rsidRPr="00E4092F" w:rsidRDefault="00E4092F" w:rsidP="00E409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F76E5" w:rsidRDefault="00E4092F" w:rsidP="00E409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8F76E5" w:rsidRPr="00E4092F">
        <w:rPr>
          <w:sz w:val="24"/>
          <w:szCs w:val="24"/>
        </w:rPr>
        <w:t>As to unavailability of the declarant, the Court of Appeals has recognized three grounds: death, incompetency, and absence beyond the jurisdiction. (</w:t>
      </w:r>
      <w:r w:rsidR="008F76E5" w:rsidRPr="00E4092F">
        <w:rPr>
          <w:i/>
          <w:iCs/>
          <w:sz w:val="24"/>
          <w:szCs w:val="24"/>
        </w:rPr>
        <w:t>See</w:t>
      </w:r>
      <w:r w:rsidR="008F76E5" w:rsidRPr="00E4092F">
        <w:rPr>
          <w:sz w:val="24"/>
          <w:szCs w:val="24"/>
        </w:rPr>
        <w:t xml:space="preserve"> </w:t>
      </w:r>
      <w:r w:rsidR="008F76E5" w:rsidRPr="00E4092F">
        <w:rPr>
          <w:i/>
          <w:iCs/>
          <w:sz w:val="24"/>
          <w:szCs w:val="24"/>
        </w:rPr>
        <w:t>Young</w:t>
      </w:r>
      <w:r w:rsidR="008F76E5" w:rsidRPr="00E4092F">
        <w:rPr>
          <w:sz w:val="24"/>
          <w:szCs w:val="24"/>
        </w:rPr>
        <w:t xml:space="preserve">, 165 NY at 388.) </w:t>
      </w:r>
      <w:r w:rsidR="008F76E5" w:rsidRPr="00E4092F">
        <w:rPr>
          <w:i/>
          <w:iCs/>
          <w:sz w:val="24"/>
          <w:szCs w:val="24"/>
        </w:rPr>
        <w:t>Young</w:t>
      </w:r>
      <w:r w:rsidR="008F76E5" w:rsidRPr="00E4092F">
        <w:rPr>
          <w:sz w:val="24"/>
          <w:szCs w:val="24"/>
        </w:rPr>
        <w:t xml:space="preserve"> does not indicate whether these are the only grounds of unavailability that are recognized for this hearsay exception or whether other grounds might be acceptable.</w:t>
      </w:r>
    </w:p>
    <w:p w:rsidR="00E4092F" w:rsidRPr="00E4092F" w:rsidRDefault="00E4092F" w:rsidP="00E409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F76E5" w:rsidRDefault="00E4092F" w:rsidP="00E409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8F76E5" w:rsidRPr="00E4092F">
        <w:rPr>
          <w:b/>
          <w:bCs/>
          <w:sz w:val="24"/>
          <w:szCs w:val="24"/>
        </w:rPr>
        <w:t xml:space="preserve">Subdivision (2) </w:t>
      </w:r>
      <w:r w:rsidR="008F76E5" w:rsidRPr="00E4092F">
        <w:rPr>
          <w:sz w:val="24"/>
          <w:szCs w:val="24"/>
        </w:rPr>
        <w:t>is derived from the numerous decisions in which this exception was in issue. (</w:t>
      </w:r>
      <w:r w:rsidR="008F76E5" w:rsidRPr="00E4092F">
        <w:rPr>
          <w:i/>
          <w:iCs/>
          <w:sz w:val="24"/>
          <w:szCs w:val="24"/>
        </w:rPr>
        <w:t>See</w:t>
      </w:r>
      <w:r w:rsidR="008F76E5" w:rsidRPr="00E4092F">
        <w:rPr>
          <w:sz w:val="24"/>
          <w:szCs w:val="24"/>
        </w:rPr>
        <w:t xml:space="preserve"> </w:t>
      </w:r>
      <w:proofErr w:type="spellStart"/>
      <w:r w:rsidR="008F76E5" w:rsidRPr="00E4092F">
        <w:rPr>
          <w:i/>
          <w:iCs/>
          <w:sz w:val="24"/>
          <w:szCs w:val="24"/>
        </w:rPr>
        <w:t>Aalholm</w:t>
      </w:r>
      <w:proofErr w:type="spellEnd"/>
      <w:r w:rsidR="008F76E5" w:rsidRPr="00E4092F">
        <w:rPr>
          <w:sz w:val="24"/>
          <w:szCs w:val="24"/>
        </w:rPr>
        <w:t xml:space="preserve">, 211 NY at 412 [oral statements]; </w:t>
      </w:r>
      <w:r w:rsidR="008F76E5" w:rsidRPr="00E4092F">
        <w:rPr>
          <w:i/>
          <w:iCs/>
          <w:sz w:val="24"/>
          <w:szCs w:val="24"/>
        </w:rPr>
        <w:t>Young</w:t>
      </w:r>
      <w:r w:rsidR="008F76E5" w:rsidRPr="00E4092F">
        <w:rPr>
          <w:sz w:val="24"/>
          <w:szCs w:val="24"/>
        </w:rPr>
        <w:t xml:space="preserve">, 165 NY at 388 [deeds and immigration acknowledgment before a United States minister]; </w:t>
      </w:r>
      <w:r w:rsidR="008F76E5" w:rsidRPr="00E4092F">
        <w:rPr>
          <w:i/>
          <w:iCs/>
          <w:sz w:val="24"/>
          <w:szCs w:val="24"/>
        </w:rPr>
        <w:t>Matter of Whalen</w:t>
      </w:r>
      <w:r w:rsidR="008F76E5" w:rsidRPr="00E4092F">
        <w:rPr>
          <w:sz w:val="24"/>
          <w:szCs w:val="24"/>
        </w:rPr>
        <w:t xml:space="preserve">, 146 </w:t>
      </w:r>
      <w:proofErr w:type="spellStart"/>
      <w:r w:rsidR="008F76E5" w:rsidRPr="00E4092F">
        <w:rPr>
          <w:sz w:val="24"/>
          <w:szCs w:val="24"/>
        </w:rPr>
        <w:t>Misc</w:t>
      </w:r>
      <w:proofErr w:type="spellEnd"/>
      <w:r w:rsidR="008F76E5" w:rsidRPr="00E4092F">
        <w:rPr>
          <w:sz w:val="24"/>
          <w:szCs w:val="24"/>
        </w:rPr>
        <w:t xml:space="preserve"> 176, 189 [Sur Ct, NY County 1932] [statements made “in a family bible, inscriptions on tombstones, etc.”].)</w:t>
      </w:r>
    </w:p>
    <w:p w:rsidR="00E4092F" w:rsidRPr="00E4092F" w:rsidRDefault="00E4092F" w:rsidP="00E409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F76E5" w:rsidRPr="00E4092F" w:rsidRDefault="00E4092F" w:rsidP="00E409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8F76E5" w:rsidRPr="00E4092F">
        <w:rPr>
          <w:b/>
          <w:bCs/>
          <w:sz w:val="24"/>
          <w:szCs w:val="24"/>
        </w:rPr>
        <w:t xml:space="preserve">Subdivision (3) </w:t>
      </w:r>
      <w:r w:rsidR="008F76E5" w:rsidRPr="00E4092F">
        <w:rPr>
          <w:sz w:val="24"/>
          <w:szCs w:val="24"/>
        </w:rPr>
        <w:t xml:space="preserve">is derived from </w:t>
      </w:r>
      <w:r w:rsidR="008F76E5" w:rsidRPr="00E4092F">
        <w:rPr>
          <w:i/>
          <w:iCs/>
          <w:sz w:val="24"/>
          <w:szCs w:val="24"/>
        </w:rPr>
        <w:t>Koester v Rochester Candy Works</w:t>
      </w:r>
      <w:r w:rsidR="008F76E5" w:rsidRPr="00E4092F">
        <w:rPr>
          <w:sz w:val="24"/>
          <w:szCs w:val="24"/>
        </w:rPr>
        <w:t xml:space="preserve"> (194 NY 92, 97 [1909] [witness competent to testify to his or her own age]) and </w:t>
      </w:r>
      <w:r w:rsidR="008F76E5" w:rsidRPr="00E4092F">
        <w:rPr>
          <w:i/>
          <w:iCs/>
          <w:sz w:val="24"/>
          <w:szCs w:val="24"/>
        </w:rPr>
        <w:t>People v Lewis</w:t>
      </w:r>
      <w:r w:rsidR="008F76E5" w:rsidRPr="00E4092F">
        <w:rPr>
          <w:sz w:val="24"/>
          <w:szCs w:val="24"/>
        </w:rPr>
        <w:t xml:space="preserve"> (69 NY2d 321, 324 [1987] [witness permitted to testify t</w:t>
      </w:r>
      <w:r>
        <w:rPr>
          <w:sz w:val="24"/>
          <w:szCs w:val="24"/>
        </w:rPr>
        <w:t>hat defendant was her father]).</w:t>
      </w:r>
    </w:p>
    <w:sectPr w:rsidR="008F76E5" w:rsidRPr="00E4092F" w:rsidSect="00E4092F">
      <w:footerReference w:type="default" r:id="rId7"/>
      <w:pgSz w:w="12240" w:h="15840"/>
      <w:pgMar w:top="1440" w:right="2160" w:bottom="1440" w:left="2160" w:header="432"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80" w:rsidRDefault="00D72080">
      <w:r>
        <w:separator/>
      </w:r>
    </w:p>
  </w:endnote>
  <w:endnote w:type="continuationSeparator" w:id="0">
    <w:p w:rsidR="00D72080" w:rsidRDefault="00D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2F" w:rsidRPr="00E4092F" w:rsidRDefault="00E4092F">
    <w:pPr>
      <w:pStyle w:val="Footer"/>
      <w:jc w:val="center"/>
      <w:rPr>
        <w:sz w:val="24"/>
        <w:szCs w:val="24"/>
      </w:rPr>
    </w:pPr>
    <w:r w:rsidRPr="00E4092F">
      <w:rPr>
        <w:sz w:val="24"/>
        <w:szCs w:val="24"/>
      </w:rPr>
      <w:fldChar w:fldCharType="begin"/>
    </w:r>
    <w:r w:rsidRPr="00E4092F">
      <w:rPr>
        <w:sz w:val="24"/>
        <w:szCs w:val="24"/>
      </w:rPr>
      <w:instrText xml:space="preserve"> PAGE   \* MERGEFORMAT </w:instrText>
    </w:r>
    <w:r w:rsidRPr="00E4092F">
      <w:rPr>
        <w:sz w:val="24"/>
        <w:szCs w:val="24"/>
      </w:rPr>
      <w:fldChar w:fldCharType="separate"/>
    </w:r>
    <w:r w:rsidR="00E71E89">
      <w:rPr>
        <w:noProof/>
        <w:sz w:val="24"/>
        <w:szCs w:val="24"/>
      </w:rPr>
      <w:t>2</w:t>
    </w:r>
    <w:r w:rsidRPr="00E4092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80" w:rsidRDefault="00D72080">
      <w:r>
        <w:separator/>
      </w:r>
    </w:p>
  </w:footnote>
  <w:footnote w:type="continuationSeparator" w:id="0">
    <w:p w:rsidR="00D72080" w:rsidRDefault="00D7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431"/>
    <w:multiLevelType w:val="hybridMultilevel"/>
    <w:tmpl w:val="40A0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227F7D"/>
    <w:multiLevelType w:val="multilevel"/>
    <w:tmpl w:val="5EA69A8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2F"/>
    <w:rsid w:val="00256C00"/>
    <w:rsid w:val="002802D5"/>
    <w:rsid w:val="0059097D"/>
    <w:rsid w:val="008F76E5"/>
    <w:rsid w:val="00956A0B"/>
    <w:rsid w:val="00CE0A05"/>
    <w:rsid w:val="00D72080"/>
    <w:rsid w:val="00E4092F"/>
    <w:rsid w:val="00E7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B021EA-C340-422B-BD1B-E20532D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936" w:hanging="360"/>
      <w:jc w:val="both"/>
    </w:pPr>
    <w:rPr>
      <w:rFonts w:ascii="Times New Roman" w:hAnsi="Times New Roman" w:cs="Times New Roman"/>
      <w:sz w:val="24"/>
      <w:szCs w:val="24"/>
    </w:rPr>
  </w:style>
  <w:style w:type="paragraph" w:customStyle="1" w:styleId="L1-2">
    <w:name w:val="L1-2"/>
    <w:uiPriority w:val="99"/>
    <w:pPr>
      <w:widowControl w:val="0"/>
      <w:autoSpaceDE w:val="0"/>
      <w:autoSpaceDN w:val="0"/>
      <w:adjustRightInd w:val="0"/>
      <w:ind w:left="1656" w:hanging="360"/>
      <w:jc w:val="both"/>
    </w:pPr>
    <w:rPr>
      <w:rFonts w:ascii="Times New Roman" w:hAnsi="Times New Roman" w:cs="Times New Roman"/>
      <w:sz w:val="24"/>
      <w:szCs w:val="24"/>
    </w:rPr>
  </w:style>
  <w:style w:type="paragraph" w:customStyle="1" w:styleId="L1-3">
    <w:name w:val="L1-3"/>
    <w:uiPriority w:val="99"/>
    <w:pPr>
      <w:widowControl w:val="0"/>
      <w:autoSpaceDE w:val="0"/>
      <w:autoSpaceDN w:val="0"/>
      <w:adjustRightInd w:val="0"/>
      <w:ind w:left="2376" w:hanging="180"/>
      <w:jc w:val="both"/>
    </w:pPr>
    <w:rPr>
      <w:rFonts w:ascii="Times New Roman" w:hAnsi="Times New Roman" w:cs="Times New Roman"/>
      <w:sz w:val="24"/>
      <w:szCs w:val="24"/>
    </w:rPr>
  </w:style>
  <w:style w:type="paragraph" w:customStyle="1" w:styleId="L1-4">
    <w:name w:val="L1-4"/>
    <w:uiPriority w:val="99"/>
    <w:pPr>
      <w:widowControl w:val="0"/>
      <w:autoSpaceDE w:val="0"/>
      <w:autoSpaceDN w:val="0"/>
      <w:adjustRightInd w:val="0"/>
      <w:ind w:left="3096" w:hanging="360"/>
      <w:jc w:val="both"/>
    </w:pPr>
    <w:rPr>
      <w:rFonts w:ascii="Times New Roman" w:hAnsi="Times New Roman" w:cs="Times New Roman"/>
      <w:sz w:val="24"/>
      <w:szCs w:val="24"/>
    </w:rPr>
  </w:style>
  <w:style w:type="paragraph" w:customStyle="1" w:styleId="L1-5">
    <w:name w:val="L1-5"/>
    <w:uiPriority w:val="99"/>
    <w:pPr>
      <w:widowControl w:val="0"/>
      <w:autoSpaceDE w:val="0"/>
      <w:autoSpaceDN w:val="0"/>
      <w:adjustRightInd w:val="0"/>
      <w:ind w:left="3816" w:hanging="360"/>
      <w:jc w:val="both"/>
    </w:pPr>
    <w:rPr>
      <w:rFonts w:ascii="Times New Roman" w:hAnsi="Times New Roman" w:cs="Times New Roman"/>
      <w:sz w:val="24"/>
      <w:szCs w:val="24"/>
    </w:rPr>
  </w:style>
  <w:style w:type="paragraph" w:customStyle="1" w:styleId="L1-6">
    <w:name w:val="L1-6"/>
    <w:uiPriority w:val="99"/>
    <w:pPr>
      <w:widowControl w:val="0"/>
      <w:autoSpaceDE w:val="0"/>
      <w:autoSpaceDN w:val="0"/>
      <w:adjustRightInd w:val="0"/>
      <w:ind w:left="4536" w:hanging="180"/>
      <w:jc w:val="both"/>
    </w:pPr>
    <w:rPr>
      <w:rFonts w:ascii="Times New Roman" w:hAnsi="Times New Roman" w:cs="Times New Roman"/>
      <w:sz w:val="24"/>
      <w:szCs w:val="24"/>
    </w:rPr>
  </w:style>
  <w:style w:type="paragraph" w:customStyle="1" w:styleId="L1-7">
    <w:name w:val="L1-7"/>
    <w:uiPriority w:val="99"/>
    <w:pPr>
      <w:widowControl w:val="0"/>
      <w:autoSpaceDE w:val="0"/>
      <w:autoSpaceDN w:val="0"/>
      <w:adjustRightInd w:val="0"/>
      <w:ind w:left="5256" w:hanging="360"/>
      <w:jc w:val="both"/>
    </w:pPr>
    <w:rPr>
      <w:rFonts w:ascii="Times New Roman" w:hAnsi="Times New Roman" w:cs="Times New Roman"/>
      <w:sz w:val="24"/>
      <w:szCs w:val="24"/>
    </w:rPr>
  </w:style>
  <w:style w:type="paragraph" w:customStyle="1" w:styleId="L1-8">
    <w:name w:val="L1-8"/>
    <w:uiPriority w:val="99"/>
    <w:pPr>
      <w:widowControl w:val="0"/>
      <w:autoSpaceDE w:val="0"/>
      <w:autoSpaceDN w:val="0"/>
      <w:adjustRightInd w:val="0"/>
      <w:ind w:left="5976"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1-9">
    <w:name w:val="L1-9"/>
    <w:uiPriority w:val="99"/>
    <w:pPr>
      <w:widowControl w:val="0"/>
      <w:autoSpaceDE w:val="0"/>
      <w:autoSpaceDN w:val="0"/>
      <w:adjustRightInd w:val="0"/>
      <w:ind w:left="6696"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E4092F"/>
    <w:pPr>
      <w:tabs>
        <w:tab w:val="center" w:pos="4680"/>
        <w:tab w:val="right" w:pos="9360"/>
      </w:tabs>
    </w:pPr>
  </w:style>
  <w:style w:type="character" w:customStyle="1" w:styleId="HeaderChar">
    <w:name w:val="Header Char"/>
    <w:basedOn w:val="DefaultParagraphFont"/>
    <w:link w:val="Header"/>
    <w:uiPriority w:val="99"/>
    <w:locked/>
    <w:rsid w:val="00E4092F"/>
    <w:rPr>
      <w:rFonts w:ascii="Times New Roman" w:hAnsi="Times New Roman" w:cs="Times New Roman"/>
      <w:sz w:val="20"/>
    </w:rPr>
  </w:style>
  <w:style w:type="paragraph" w:styleId="Footer">
    <w:name w:val="footer"/>
    <w:basedOn w:val="Normal"/>
    <w:link w:val="FooterChar"/>
    <w:uiPriority w:val="99"/>
    <w:unhideWhenUsed/>
    <w:rsid w:val="00E4092F"/>
    <w:pPr>
      <w:tabs>
        <w:tab w:val="center" w:pos="4680"/>
        <w:tab w:val="right" w:pos="9360"/>
      </w:tabs>
    </w:pPr>
  </w:style>
  <w:style w:type="character" w:customStyle="1" w:styleId="FooterChar">
    <w:name w:val="Footer Char"/>
    <w:basedOn w:val="DefaultParagraphFont"/>
    <w:link w:val="Footer"/>
    <w:uiPriority w:val="99"/>
    <w:locked/>
    <w:rsid w:val="00E4092F"/>
    <w:rPr>
      <w:rFonts w:ascii="Times New Roman" w:hAnsi="Times New Roman" w:cs="Times New Roman"/>
      <w:sz w:val="20"/>
    </w:rPr>
  </w:style>
  <w:style w:type="paragraph" w:styleId="ListParagraph">
    <w:name w:val="List Paragraph"/>
    <w:basedOn w:val="Normal"/>
    <w:uiPriority w:val="34"/>
    <w:qFormat/>
    <w:rsid w:val="00E409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4</cp:revision>
  <dcterms:created xsi:type="dcterms:W3CDTF">2017-04-24T17:14:00Z</dcterms:created>
  <dcterms:modified xsi:type="dcterms:W3CDTF">2017-06-12T15:47:00Z</dcterms:modified>
</cp:coreProperties>
</file>